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BAE" w:rsidRDefault="0014213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138265</wp:posOffset>
            </wp:positionH>
            <wp:positionV relativeFrom="paragraph">
              <wp:posOffset>99336</wp:posOffset>
            </wp:positionV>
            <wp:extent cx="1136474" cy="1103244"/>
            <wp:effectExtent l="19050" t="0" r="6526" b="0"/>
            <wp:wrapNone/>
            <wp:docPr id="44" name="图片 9" descr="标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标识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474" cy="1103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0784">
        <w:rPr>
          <w:noProof/>
        </w:rPr>
        <w:pict>
          <v:rect id="_x0000_s1026" style="position:absolute;left:0;text-align:left;margin-left:109.35pt;margin-top:14.2pt;width:471.85pt;height:53pt;z-index:251660288;mso-position-horizontal-relative:text;mso-position-vertical-relative:text" fillcolor="#b00000" stroked="f" strokecolor="#f2f2f2 [3041]" strokeweight="3pt">
            <v:shadow on="t" type="perspective" color="#205867 [1608]" opacity=".5" offset="1pt" offset2="-1pt"/>
            <v:textbox style="mso-next-textbox:#_x0000_s1026">
              <w:txbxContent>
                <w:p w:rsidR="005920B9" w:rsidRPr="00275374" w:rsidRDefault="005920B9" w:rsidP="005920B9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44"/>
                      <w:szCs w:val="44"/>
                    </w:rPr>
                  </w:pPr>
                  <w:r w:rsidRPr="00275374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44"/>
                      <w:szCs w:val="44"/>
                    </w:rPr>
                    <w:t>晨会纪要</w:t>
                  </w:r>
                </w:p>
                <w:p w:rsidR="00132BAE" w:rsidRPr="00B74C32" w:rsidRDefault="00132BAE" w:rsidP="00B74C32"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  <w:r w:rsidR="00B148DE">
        <w:rPr>
          <w:rFonts w:hint="eastAsia"/>
        </w:rPr>
        <w:t xml:space="preserve"> </w:t>
      </w:r>
    </w:p>
    <w:p w:rsidR="00132BAE" w:rsidRDefault="00132BAE"/>
    <w:p w:rsidR="00132BAE" w:rsidRDefault="00132BAE"/>
    <w:p w:rsidR="00132BAE" w:rsidRDefault="00132BAE"/>
    <w:p w:rsidR="00132BAE" w:rsidRDefault="00160784">
      <w:r>
        <w:rPr>
          <w:noProof/>
        </w:rPr>
        <w:pict>
          <v:rect id="_x0000_s1027" style="position:absolute;left:0;text-align:left;margin-left:109.35pt;margin-top:4.8pt;width:478.15pt;height:33.4pt;z-index:251661312" fillcolor="#3187c1" stroked="f" strokecolor="#06f">
            <v:textbox>
              <w:txbxContent>
                <w:p w:rsidR="0071760A" w:rsidRPr="007F2640" w:rsidRDefault="0071760A" w:rsidP="0071760A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AD7468">
                    <w:rPr>
                      <w:rFonts w:hint="eastAsia"/>
                      <w:b/>
                      <w:color w:val="FFFFFF" w:themeColor="background1"/>
                      <w:sz w:val="28"/>
                      <w:szCs w:val="28"/>
                    </w:rPr>
                    <w:t xml:space="preserve">  </w:t>
                  </w:r>
                  <w:r w:rsidR="002B5246"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江海</w:t>
                  </w:r>
                  <w:r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汇鑫商品市场每日研究</w:t>
                  </w:r>
                </w:p>
              </w:txbxContent>
            </v:textbox>
          </v:rect>
        </w:pict>
      </w:r>
    </w:p>
    <w:p w:rsidR="00132BAE" w:rsidRDefault="00132BAE"/>
    <w:p w:rsidR="00132BAE" w:rsidRPr="008B3D57" w:rsidRDefault="002B5246" w:rsidP="00132BAE">
      <w:pPr>
        <w:jc w:val="left"/>
        <w:rPr>
          <w:rFonts w:ascii="华文细黑" w:eastAsia="华文细黑" w:hAnsi="华文细黑" w:cs="Arial"/>
          <w:b/>
          <w:color w:val="595959" w:themeColor="text1" w:themeTint="A6"/>
          <w:sz w:val="18"/>
          <w:szCs w:val="18"/>
        </w:rPr>
      </w:pPr>
      <w:r>
        <w:rPr>
          <w:rFonts w:ascii="华文细黑" w:eastAsia="华文细黑" w:hAnsi="华文细黑" w:cs="Arial" w:hint="eastAsia"/>
          <w:b/>
          <w:color w:val="595959" w:themeColor="text1" w:themeTint="A6"/>
          <w:sz w:val="18"/>
          <w:szCs w:val="18"/>
        </w:rPr>
        <w:t>江海</w:t>
      </w:r>
      <w:r w:rsidR="00132BAE" w:rsidRPr="008B3D57">
        <w:rPr>
          <w:rFonts w:ascii="华文细黑" w:eastAsia="华文细黑" w:hAnsi="华文细黑" w:cs="Arial" w:hint="eastAsia"/>
          <w:b/>
          <w:color w:val="595959" w:themeColor="text1" w:themeTint="A6"/>
          <w:sz w:val="18"/>
          <w:szCs w:val="18"/>
        </w:rPr>
        <w:t>汇鑫研究</w:t>
      </w:r>
      <w:r w:rsidR="00132BAE" w:rsidRPr="008B3D57">
        <w:rPr>
          <w:rFonts w:ascii="华文细黑" w:eastAsia="华文细黑" w:hAnsi="华文细黑" w:cs="Arial"/>
          <w:b/>
          <w:color w:val="595959" w:themeColor="text1" w:themeTint="A6"/>
          <w:sz w:val="18"/>
          <w:szCs w:val="18"/>
        </w:rPr>
        <w:t xml:space="preserve">                                                             </w:t>
      </w:r>
      <w:r w:rsidR="00132BAE" w:rsidRPr="008B3D57">
        <w:rPr>
          <w:rFonts w:ascii="华文细黑" w:eastAsia="华文细黑" w:hAnsi="华文细黑" w:cs="Arial"/>
          <w:color w:val="595959" w:themeColor="text1" w:themeTint="A6"/>
          <w:sz w:val="18"/>
          <w:szCs w:val="18"/>
        </w:rPr>
        <w:t xml:space="preserve">                                                             </w:t>
      </w:r>
    </w:p>
    <w:p w:rsidR="00AC2358" w:rsidRPr="00AC2358" w:rsidRDefault="00132BAE" w:rsidP="00AC2358">
      <w:pPr>
        <w:jc w:val="left"/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</w:pP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>电话：</w:t>
      </w:r>
      <w:r w:rsidR="00AC2358"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024-31308888-8222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 xml:space="preserve">/ </w:t>
      </w:r>
      <w:r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QQ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>：</w:t>
      </w:r>
      <w:r w:rsidR="00AC2358"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906376835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 xml:space="preserve">            </w:t>
      </w:r>
    </w:p>
    <w:p w:rsidR="008258BD" w:rsidRPr="00AC2358" w:rsidRDefault="00160784" w:rsidP="00AC2358">
      <w:pPr>
        <w:jc w:val="left"/>
        <w:rPr>
          <w:rFonts w:ascii="华文细黑" w:eastAsia="华文细黑" w:hAnsi="华文细黑" w:cs="Arial"/>
          <w:color w:val="595959" w:themeColor="text1" w:themeTint="A6"/>
          <w:sz w:val="18"/>
          <w:szCs w:val="18"/>
        </w:rPr>
      </w:pPr>
      <w:r w:rsidRPr="00160784">
        <w:rPr>
          <w:rFonts w:ascii="华文细黑" w:eastAsia="华文细黑" w:hAnsi="华文细黑" w:cs="Arial"/>
          <w:b/>
          <w:noProof/>
          <w:color w:val="C00000"/>
          <w:spacing w:val="-4"/>
          <w:sz w:val="18"/>
          <w:szCs w:val="18"/>
        </w:rPr>
        <w:pict>
          <v:roundrect id="_x0000_s1032" style="position:absolute;margin-left:196.3pt;margin-top:9.4pt;width:313.8pt;height:54pt;z-index:251665408" arcsize="10923f">
            <v:textbox style="mso-next-textbox:#_x0000_s1032">
              <w:txbxContent>
                <w:p w:rsidR="00744020" w:rsidRDefault="001755BC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 w:rsidR="00641E12" w:rsidRDefault="00AC2358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菜粕多单机会</w:t>
                  </w:r>
                </w:p>
              </w:txbxContent>
            </v:textbox>
          </v:roundrect>
        </w:pict>
      </w:r>
      <w:r w:rsidRPr="00160784">
        <w:rPr>
          <w:rFonts w:ascii="华文细黑" w:eastAsia="华文细黑" w:hAnsi="华文细黑" w:cs="Arial"/>
          <w:b/>
          <w:noProof/>
          <w:color w:val="C00000"/>
          <w:spacing w:val="-4"/>
          <w:sz w:val="18"/>
          <w:szCs w:val="18"/>
        </w:rPr>
        <w:pict>
          <v:roundrect id="_x0000_s1031" style="position:absolute;margin-left:67.3pt;margin-top:9.4pt;width:117pt;height:54pt;z-index:251664384" arcsize="10923f">
            <v:textbox style="mso-next-textbox:#_x0000_s1031">
              <w:txbxContent>
                <w:p w:rsidR="00744020" w:rsidRPr="00744020" w:rsidRDefault="00744020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</w:t>
                  </w:r>
                  <w:r w:rsidR="00E4182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5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年</w:t>
                  </w:r>
                  <w:r w:rsidR="00E204FF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1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 w:rsidR="00E4182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</w:t>
                  </w:r>
                  <w:r w:rsidR="008E23B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6</w:t>
                  </w:r>
                  <w:r w:rsidR="00701C13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 w:rsidR="00744020" w:rsidRPr="00744020" w:rsidRDefault="00701C13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 w:rsidR="008E23B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一</w:t>
                  </w:r>
                </w:p>
              </w:txbxContent>
            </v:textbox>
          </v:roundrect>
        </w:pict>
      </w: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35756D" w:rsidRDefault="0035756D" w:rsidP="00B74C32">
      <w:pPr>
        <w:rPr>
          <w:rFonts w:ascii="华文细黑" w:eastAsia="华文细黑" w:hAnsi="华文细黑" w:cs="Arial"/>
          <w:b/>
          <w:color w:val="FF0000"/>
          <w:spacing w:val="-4"/>
          <w:sz w:val="18"/>
          <w:szCs w:val="18"/>
        </w:rPr>
      </w:pPr>
    </w:p>
    <w:tbl>
      <w:tblPr>
        <w:tblStyle w:val="a7"/>
        <w:tblpPr w:leftFromText="180" w:rightFromText="180" w:vertAnchor="text" w:horzAnchor="margin" w:tblpY="1"/>
        <w:tblOverlap w:val="never"/>
        <w:tblW w:w="4740" w:type="pct"/>
        <w:tblLayout w:type="fixed"/>
        <w:tblLook w:val="04A0"/>
      </w:tblPr>
      <w:tblGrid>
        <w:gridCol w:w="675"/>
        <w:gridCol w:w="627"/>
        <w:gridCol w:w="6744"/>
        <w:gridCol w:w="2585"/>
      </w:tblGrid>
      <w:tr w:rsidR="001C4D1C" w:rsidRPr="008B3D57" w:rsidTr="00043DD8">
        <w:trPr>
          <w:trHeight w:val="702"/>
        </w:trPr>
        <w:tc>
          <w:tcPr>
            <w:tcW w:w="317" w:type="pct"/>
            <w:shd w:val="clear" w:color="auto" w:fill="C9675F"/>
          </w:tcPr>
          <w:p w:rsidR="001C4D1C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</w:p>
        </w:tc>
        <w:tc>
          <w:tcPr>
            <w:tcW w:w="295" w:type="pct"/>
            <w:shd w:val="clear" w:color="auto" w:fill="auto"/>
          </w:tcPr>
          <w:p w:rsidR="001C4D1C" w:rsidRPr="001C4D1C" w:rsidRDefault="001C4D1C" w:rsidP="0035756D">
            <w:pPr>
              <w:autoSpaceDE w:val="0"/>
              <w:autoSpaceDN w:val="0"/>
              <w:adjustRightInd w:val="0"/>
              <w:jc w:val="center"/>
              <w:rPr>
                <w:rFonts w:ascii="华文细黑" w:eastAsia="华文细黑" w:hAnsi="华文细黑" w:cs="宋体"/>
                <w:b/>
                <w:color w:val="000000" w:themeColor="text1"/>
                <w:kern w:val="0"/>
                <w:sz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000000" w:themeColor="text1"/>
                <w:kern w:val="0"/>
                <w:sz w:val="24"/>
                <w:lang w:val="zh-CN"/>
              </w:rPr>
              <w:t>品种</w:t>
            </w:r>
            <w:r w:rsidRPr="001C4D1C">
              <w:rPr>
                <w:rFonts w:ascii="华文细黑" w:eastAsia="华文细黑" w:hAnsi="华文细黑" w:cs="宋体" w:hint="eastAsia"/>
                <w:b/>
                <w:color w:val="000000" w:themeColor="text1"/>
                <w:kern w:val="0"/>
                <w:sz w:val="24"/>
                <w:lang w:val="zh-CN"/>
              </w:rPr>
              <w:t xml:space="preserve"> </w:t>
            </w:r>
          </w:p>
        </w:tc>
        <w:tc>
          <w:tcPr>
            <w:tcW w:w="3172" w:type="pct"/>
            <w:shd w:val="clear" w:color="auto" w:fill="59A3D5"/>
          </w:tcPr>
          <w:p w:rsidR="001C4D1C" w:rsidRPr="008A43E0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  <w:r w:rsidRPr="008A43E0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lang w:val="zh-CN"/>
              </w:rPr>
              <w:t>理由评述</w:t>
            </w:r>
          </w:p>
        </w:tc>
        <w:tc>
          <w:tcPr>
            <w:tcW w:w="1216" w:type="pct"/>
            <w:shd w:val="clear" w:color="auto" w:fill="9AC7E6"/>
          </w:tcPr>
          <w:p w:rsidR="001C4D1C" w:rsidRPr="008B3D57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  <w:r w:rsidRPr="008B3D57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lang w:val="zh-CN"/>
              </w:rPr>
              <w:t>操作建议</w:t>
            </w:r>
          </w:p>
        </w:tc>
      </w:tr>
      <w:tr w:rsidR="006C1F4D" w:rsidRPr="008B3D57" w:rsidTr="00887861">
        <w:trPr>
          <w:trHeight w:val="2296"/>
        </w:trPr>
        <w:tc>
          <w:tcPr>
            <w:tcW w:w="317" w:type="pct"/>
            <w:vMerge w:val="restart"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  <w:r w:rsidRPr="00043DD8">
              <w:rPr>
                <w:rFonts w:asciiTheme="minorEastAsia" w:hAnsiTheme="minorEastAsia" w:cs="Arial" w:hint="eastAsia"/>
                <w:b/>
                <w:color w:val="000000" w:themeColor="text1"/>
                <w:spacing w:val="-4"/>
                <w:sz w:val="24"/>
                <w:szCs w:val="24"/>
              </w:rPr>
              <w:t>国外</w:t>
            </w:r>
          </w:p>
        </w:tc>
        <w:tc>
          <w:tcPr>
            <w:tcW w:w="295" w:type="pct"/>
            <w:vAlign w:val="center"/>
          </w:tcPr>
          <w:p w:rsidR="00E41829" w:rsidRPr="00887861" w:rsidRDefault="006C1F4D" w:rsidP="006C1F4D">
            <w:pPr>
              <w:spacing w:line="280" w:lineRule="exact"/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资</w:t>
            </w:r>
          </w:p>
          <w:p w:rsidR="006C1F4D" w:rsidRPr="00887861" w:rsidRDefault="006C1F4D" w:rsidP="006C1F4D">
            <w:pPr>
              <w:spacing w:line="280" w:lineRule="exact"/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讯</w:t>
            </w:r>
          </w:p>
        </w:tc>
        <w:tc>
          <w:tcPr>
            <w:tcW w:w="4388" w:type="pct"/>
            <w:gridSpan w:val="2"/>
          </w:tcPr>
          <w:p w:rsidR="00375FFF" w:rsidRPr="00887861" w:rsidRDefault="00887861" w:rsidP="00887861">
            <w:pPr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上周五道琼斯指数收盘下跌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0.79%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，收报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17672.60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点；纳斯达克指数收盘上涨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0.16%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，收报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4757.88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点；标普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500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指数收盘下跌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0.55%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，收报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2051.83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点。尽管周五下跌，标普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500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指数和道琼斯指数全周仍收高，中止连三周下跌走势。此外本周美联储将公布利率决议，不过加息时间预期已经推迟到了起码今年年中，本次利率决议基本上又会以捕风捉影为主。</w:t>
            </w:r>
            <w:r w:rsidRPr="00887861">
              <w:rPr>
                <w:color w:val="3A3A3A"/>
                <w:sz w:val="24"/>
                <w:szCs w:val="24"/>
              </w:rPr>
              <w:t>短期来看，在欧央行量化宽松之后，市场长期关注可能又将转向美联储加息预期，不过目前时间窗集中在今年年中，或更晚，在此之间，经济数据又会对预期产生影响</w:t>
            </w:r>
            <w:r>
              <w:rPr>
                <w:rFonts w:hint="eastAsia"/>
                <w:color w:val="3A3A3A"/>
                <w:sz w:val="24"/>
                <w:szCs w:val="24"/>
              </w:rPr>
              <w:t>。</w:t>
            </w:r>
          </w:p>
        </w:tc>
      </w:tr>
      <w:tr w:rsidR="006C1F4D" w:rsidRPr="008B3D5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E41829" w:rsidRPr="00887861" w:rsidRDefault="006C1F4D" w:rsidP="006C1F4D">
            <w:pPr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原</w:t>
            </w:r>
          </w:p>
          <w:p w:rsidR="006C1F4D" w:rsidRPr="00887861" w:rsidRDefault="006C1F4D" w:rsidP="006C1F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油</w:t>
            </w:r>
          </w:p>
        </w:tc>
        <w:tc>
          <w:tcPr>
            <w:tcW w:w="4388" w:type="pct"/>
            <w:gridSpan w:val="2"/>
          </w:tcPr>
          <w:p w:rsidR="006C1F4D" w:rsidRPr="00887861" w:rsidRDefault="00D843B2" w:rsidP="00D843B2">
            <w:pPr>
              <w:rPr>
                <w:sz w:val="24"/>
                <w:szCs w:val="24"/>
              </w:rPr>
            </w:pPr>
            <w:r w:rsidRPr="00887861">
              <w:rPr>
                <w:rFonts w:hint="eastAsia"/>
                <w:sz w:val="24"/>
                <w:szCs w:val="24"/>
              </w:rPr>
              <w:t>美国商品期货交易委员会（</w:t>
            </w:r>
            <w:r w:rsidRPr="00887861">
              <w:rPr>
                <w:rFonts w:hint="eastAsia"/>
                <w:sz w:val="24"/>
                <w:szCs w:val="24"/>
              </w:rPr>
              <w:t>CFTC</w:t>
            </w:r>
            <w:r w:rsidRPr="00887861">
              <w:rPr>
                <w:rFonts w:hint="eastAsia"/>
                <w:sz w:val="24"/>
                <w:szCs w:val="24"/>
              </w:rPr>
              <w:t>）上周五（</w:t>
            </w:r>
            <w:r w:rsidRPr="00887861">
              <w:rPr>
                <w:rFonts w:hint="eastAsia"/>
                <w:sz w:val="24"/>
                <w:szCs w:val="24"/>
              </w:rPr>
              <w:t>1</w:t>
            </w:r>
            <w:r w:rsidRPr="00887861">
              <w:rPr>
                <w:rFonts w:hint="eastAsia"/>
                <w:sz w:val="24"/>
                <w:szCs w:val="24"/>
              </w:rPr>
              <w:t>月</w:t>
            </w:r>
            <w:r w:rsidRPr="00887861">
              <w:rPr>
                <w:rFonts w:hint="eastAsia"/>
                <w:sz w:val="24"/>
                <w:szCs w:val="24"/>
              </w:rPr>
              <w:t>23</w:t>
            </w:r>
            <w:r w:rsidRPr="00887861">
              <w:rPr>
                <w:rFonts w:hint="eastAsia"/>
                <w:sz w:val="24"/>
                <w:szCs w:val="24"/>
              </w:rPr>
              <w:t>日）发布的周度报告称，截至</w:t>
            </w:r>
            <w:r w:rsidRPr="00887861">
              <w:rPr>
                <w:rFonts w:hint="eastAsia"/>
                <w:sz w:val="24"/>
                <w:szCs w:val="24"/>
              </w:rPr>
              <w:t>1</w:t>
            </w:r>
            <w:r w:rsidRPr="00887861">
              <w:rPr>
                <w:rFonts w:hint="eastAsia"/>
                <w:sz w:val="24"/>
                <w:szCs w:val="24"/>
              </w:rPr>
              <w:t>月</w:t>
            </w:r>
            <w:r w:rsidRPr="00887861">
              <w:rPr>
                <w:rFonts w:hint="eastAsia"/>
                <w:sz w:val="24"/>
                <w:szCs w:val="24"/>
              </w:rPr>
              <w:t>20</w:t>
            </w:r>
            <w:r w:rsidRPr="00887861">
              <w:rPr>
                <w:rFonts w:hint="eastAsia"/>
                <w:sz w:val="24"/>
                <w:szCs w:val="24"/>
              </w:rPr>
              <w:t>日当周，对冲基金削减美国原油期货及期权净多头头寸。具体数据显示，截至</w:t>
            </w:r>
            <w:r w:rsidRPr="00887861">
              <w:rPr>
                <w:rFonts w:hint="eastAsia"/>
                <w:sz w:val="24"/>
                <w:szCs w:val="24"/>
              </w:rPr>
              <w:t>1</w:t>
            </w:r>
            <w:r w:rsidRPr="00887861">
              <w:rPr>
                <w:rFonts w:hint="eastAsia"/>
                <w:sz w:val="24"/>
                <w:szCs w:val="24"/>
              </w:rPr>
              <w:t>月</w:t>
            </w:r>
            <w:r w:rsidRPr="00887861">
              <w:rPr>
                <w:rFonts w:hint="eastAsia"/>
                <w:sz w:val="24"/>
                <w:szCs w:val="24"/>
              </w:rPr>
              <w:t>13</w:t>
            </w:r>
            <w:r w:rsidRPr="00887861">
              <w:rPr>
                <w:rFonts w:hint="eastAsia"/>
                <w:sz w:val="24"/>
                <w:szCs w:val="24"/>
              </w:rPr>
              <w:t>日一周，纽约商品交易所</w:t>
            </w:r>
            <w:r w:rsidRPr="00887861">
              <w:rPr>
                <w:rFonts w:hint="eastAsia"/>
                <w:sz w:val="24"/>
                <w:szCs w:val="24"/>
              </w:rPr>
              <w:t>(NYMEX)</w:t>
            </w:r>
            <w:r w:rsidRPr="00887861">
              <w:rPr>
                <w:rFonts w:hint="eastAsia"/>
                <w:sz w:val="24"/>
                <w:szCs w:val="24"/>
              </w:rPr>
              <w:t>原油及伦敦洲际交易所</w:t>
            </w:r>
            <w:r w:rsidRPr="00887861">
              <w:rPr>
                <w:rFonts w:hint="eastAsia"/>
                <w:sz w:val="24"/>
                <w:szCs w:val="24"/>
              </w:rPr>
              <w:t>(ICE)WTI</w:t>
            </w:r>
            <w:r w:rsidRPr="00887861">
              <w:rPr>
                <w:rFonts w:hint="eastAsia"/>
                <w:sz w:val="24"/>
                <w:szCs w:val="24"/>
              </w:rPr>
              <w:t>原油期货与期权净多头共削减</w:t>
            </w:r>
            <w:r w:rsidRPr="00887861">
              <w:rPr>
                <w:rFonts w:hint="eastAsia"/>
                <w:sz w:val="24"/>
                <w:szCs w:val="24"/>
              </w:rPr>
              <w:t>4198</w:t>
            </w:r>
            <w:r w:rsidRPr="00887861">
              <w:rPr>
                <w:rFonts w:hint="eastAsia"/>
                <w:sz w:val="24"/>
                <w:szCs w:val="24"/>
              </w:rPr>
              <w:t>手，至</w:t>
            </w:r>
            <w:r w:rsidRPr="00887861">
              <w:rPr>
                <w:rFonts w:hint="eastAsia"/>
                <w:sz w:val="24"/>
                <w:szCs w:val="24"/>
              </w:rPr>
              <w:t>225926</w:t>
            </w:r>
            <w:r w:rsidRPr="00887861">
              <w:rPr>
                <w:rFonts w:hint="eastAsia"/>
                <w:sz w:val="24"/>
                <w:szCs w:val="24"/>
              </w:rPr>
              <w:t>手。基本面利空，同时因欧洲央行公布</w:t>
            </w:r>
            <w:r w:rsidRPr="00887861">
              <w:rPr>
                <w:rFonts w:hint="eastAsia"/>
                <w:sz w:val="24"/>
                <w:szCs w:val="24"/>
              </w:rPr>
              <w:t>QE</w:t>
            </w:r>
            <w:r w:rsidRPr="00887861">
              <w:rPr>
                <w:rFonts w:hint="eastAsia"/>
                <w:sz w:val="24"/>
                <w:szCs w:val="24"/>
              </w:rPr>
              <w:t>计划后欧元大跌，美元走强致商品价格普遍下跌，</w:t>
            </w:r>
            <w:r w:rsidRPr="00887861">
              <w:rPr>
                <w:rFonts w:hint="eastAsia"/>
                <w:sz w:val="24"/>
                <w:szCs w:val="24"/>
              </w:rPr>
              <w:t>NYMEX</w:t>
            </w:r>
            <w:r w:rsidRPr="00887861">
              <w:rPr>
                <w:rFonts w:hint="eastAsia"/>
                <w:sz w:val="24"/>
                <w:szCs w:val="24"/>
              </w:rPr>
              <w:t>原油期货下跌</w:t>
            </w:r>
            <w:r w:rsidRPr="00887861">
              <w:rPr>
                <w:rFonts w:hint="eastAsia"/>
                <w:sz w:val="24"/>
                <w:szCs w:val="24"/>
              </w:rPr>
              <w:t>0.72</w:t>
            </w:r>
            <w:r w:rsidRPr="00887861">
              <w:rPr>
                <w:rFonts w:hint="eastAsia"/>
                <w:sz w:val="24"/>
                <w:szCs w:val="24"/>
              </w:rPr>
              <w:t>美元，跌幅</w:t>
            </w:r>
            <w:r w:rsidRPr="00887861">
              <w:rPr>
                <w:rFonts w:hint="eastAsia"/>
                <w:sz w:val="24"/>
                <w:szCs w:val="24"/>
              </w:rPr>
              <w:t>1.55%</w:t>
            </w:r>
            <w:r w:rsidRPr="00887861">
              <w:rPr>
                <w:rFonts w:hint="eastAsia"/>
                <w:sz w:val="24"/>
                <w:szCs w:val="24"/>
              </w:rPr>
              <w:t>，报</w:t>
            </w:r>
            <w:r w:rsidRPr="00887861">
              <w:rPr>
                <w:rFonts w:hint="eastAsia"/>
                <w:sz w:val="24"/>
                <w:szCs w:val="24"/>
              </w:rPr>
              <w:t>45.59</w:t>
            </w:r>
            <w:r w:rsidRPr="00887861">
              <w:rPr>
                <w:rFonts w:hint="eastAsia"/>
                <w:sz w:val="24"/>
                <w:szCs w:val="24"/>
              </w:rPr>
              <w:t>美元</w:t>
            </w:r>
            <w:r w:rsidRPr="00887861">
              <w:rPr>
                <w:rFonts w:hint="eastAsia"/>
                <w:sz w:val="24"/>
                <w:szCs w:val="24"/>
              </w:rPr>
              <w:t>/</w:t>
            </w:r>
            <w:r w:rsidRPr="00887861">
              <w:rPr>
                <w:rFonts w:hint="eastAsia"/>
                <w:sz w:val="24"/>
                <w:szCs w:val="24"/>
              </w:rPr>
              <w:t>桶。</w:t>
            </w:r>
          </w:p>
        </w:tc>
      </w:tr>
      <w:tr w:rsidR="006C1F4D" w:rsidRPr="008B3D5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E41829" w:rsidRPr="00887861" w:rsidRDefault="006C1F4D" w:rsidP="006C1F4D">
            <w:pPr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黄</w:t>
            </w:r>
          </w:p>
          <w:p w:rsidR="006C1F4D" w:rsidRPr="00887861" w:rsidRDefault="006C1F4D" w:rsidP="006C1F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金</w:t>
            </w:r>
          </w:p>
        </w:tc>
        <w:tc>
          <w:tcPr>
            <w:tcW w:w="4388" w:type="pct"/>
            <w:gridSpan w:val="2"/>
          </w:tcPr>
          <w:p w:rsidR="006C1F4D" w:rsidRPr="00887861" w:rsidRDefault="00D843B2" w:rsidP="00375FFF">
            <w:pPr>
              <w:rPr>
                <w:sz w:val="24"/>
                <w:szCs w:val="24"/>
              </w:rPr>
            </w:pPr>
            <w:r w:rsidRPr="00887861">
              <w:rPr>
                <w:rFonts w:hint="eastAsia"/>
                <w:sz w:val="24"/>
                <w:szCs w:val="24"/>
              </w:rPr>
              <w:t>周日希腊进行了大选，极左反对党赢得大选，获得</w:t>
            </w:r>
            <w:r w:rsidRPr="00887861">
              <w:rPr>
                <w:rFonts w:hint="eastAsia"/>
                <w:sz w:val="24"/>
                <w:szCs w:val="24"/>
              </w:rPr>
              <w:t>35.5%-39.5%</w:t>
            </w:r>
            <w:r w:rsidRPr="00887861">
              <w:rPr>
                <w:rFonts w:hint="eastAsia"/>
                <w:sz w:val="24"/>
                <w:szCs w:val="24"/>
              </w:rPr>
              <w:t>的支持率，而现任总理萨马拉斯领导的执政党“新民主党”只获得</w:t>
            </w:r>
            <w:r w:rsidRPr="00887861">
              <w:rPr>
                <w:rFonts w:hint="eastAsia"/>
                <w:sz w:val="24"/>
                <w:szCs w:val="24"/>
              </w:rPr>
              <w:t>23-24%</w:t>
            </w:r>
            <w:r w:rsidRPr="00887861">
              <w:rPr>
                <w:rFonts w:hint="eastAsia"/>
                <w:sz w:val="24"/>
                <w:szCs w:val="24"/>
              </w:rPr>
              <w:t>的支持率。希腊左翼的上台使得市场的不确定性继续，对希腊退出欧元区的担忧也将继续，以此带来的避险需求继续利好黄金。</w:t>
            </w:r>
            <w:r w:rsidR="00887861" w:rsidRPr="00887861">
              <w:rPr>
                <w:rFonts w:hint="eastAsia"/>
                <w:sz w:val="24"/>
                <w:szCs w:val="24"/>
              </w:rPr>
              <w:t>本周黄金市场的注意力将从欧洲转向美国，美联储</w:t>
            </w:r>
            <w:r w:rsidR="00887861" w:rsidRPr="00887861">
              <w:rPr>
                <w:rFonts w:hint="eastAsia"/>
                <w:sz w:val="24"/>
                <w:szCs w:val="24"/>
              </w:rPr>
              <w:t>FOMC</w:t>
            </w:r>
            <w:r w:rsidR="00887861" w:rsidRPr="00887861">
              <w:rPr>
                <w:rFonts w:hint="eastAsia"/>
                <w:sz w:val="24"/>
                <w:szCs w:val="24"/>
              </w:rPr>
              <w:t>会议将是焦点。</w:t>
            </w:r>
          </w:p>
        </w:tc>
      </w:tr>
      <w:tr w:rsidR="006C1F4D" w:rsidRPr="008B3D57" w:rsidTr="00887861">
        <w:trPr>
          <w:trHeight w:val="1098"/>
        </w:trPr>
        <w:tc>
          <w:tcPr>
            <w:tcW w:w="317" w:type="pct"/>
            <w:vMerge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C1F4D" w:rsidRPr="00887861" w:rsidRDefault="00887861" w:rsidP="00887861">
            <w:pPr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Cs w:val="21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Cs w:val="21"/>
              </w:rPr>
              <w:t>农产品</w:t>
            </w:r>
          </w:p>
        </w:tc>
        <w:tc>
          <w:tcPr>
            <w:tcW w:w="4388" w:type="pct"/>
            <w:gridSpan w:val="2"/>
          </w:tcPr>
          <w:p w:rsidR="006C1F4D" w:rsidRPr="00887861" w:rsidRDefault="001F4380" w:rsidP="00887861">
            <w:pPr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受南美作物前景拖累，农产品价格多数继续走低，巴西作物种植区预计将从</w:t>
            </w:r>
            <w:r w:rsidR="00887861">
              <w:rPr>
                <w:rFonts w:ascii="Arial" w:hAnsi="Arial" w:cs="Arial" w:hint="eastAsia"/>
                <w:sz w:val="24"/>
                <w:szCs w:val="24"/>
              </w:rPr>
              <w:t>本周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开始降雨，缓解连日来的干燥天气，而美国农业部本月公布的，预计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2014/15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年度全球大豆库存将创下历史最高的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9080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万吨，对市场压力仍然明显。</w:t>
            </w:r>
          </w:p>
        </w:tc>
      </w:tr>
      <w:tr w:rsidR="009C6CBD" w:rsidRPr="008A43E0" w:rsidTr="00DA1152">
        <w:trPr>
          <w:trHeight w:val="285"/>
        </w:trPr>
        <w:tc>
          <w:tcPr>
            <w:tcW w:w="317" w:type="pct"/>
            <w:vMerge w:val="restart"/>
            <w:textDirection w:val="tbRlV"/>
            <w:vAlign w:val="center"/>
          </w:tcPr>
          <w:p w:rsidR="009C6CBD" w:rsidRPr="00043DD8" w:rsidRDefault="009C6CBD" w:rsidP="00043DD8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  <w:r w:rsidRPr="00043DD8"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24"/>
                <w:szCs w:val="24"/>
                <w:lang w:val="zh-CN"/>
              </w:rPr>
              <w:t>国内</w:t>
            </w:r>
          </w:p>
        </w:tc>
        <w:tc>
          <w:tcPr>
            <w:tcW w:w="295" w:type="pct"/>
            <w:vAlign w:val="center"/>
          </w:tcPr>
          <w:p w:rsidR="00DA1152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股</w:t>
            </w:r>
          </w:p>
          <w:p w:rsidR="009C6CBD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指</w:t>
            </w:r>
          </w:p>
        </w:tc>
        <w:tc>
          <w:tcPr>
            <w:tcW w:w="4388" w:type="pct"/>
            <w:gridSpan w:val="2"/>
          </w:tcPr>
          <w:p w:rsidR="009C6CBD" w:rsidRPr="00887861" w:rsidRDefault="008E23B0" w:rsidP="008613D8">
            <w:pPr>
              <w:rPr>
                <w:rFonts w:hAnsi="Times New Roman" w:cs="宋体"/>
                <w:kern w:val="0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上周五</w:t>
            </w:r>
            <w:r w:rsidRPr="00887861">
              <w:rPr>
                <w:rFonts w:ascii="Arial" w:hAnsi="Arial" w:cs="Arial"/>
                <w:sz w:val="24"/>
                <w:szCs w:val="24"/>
              </w:rPr>
              <w:t>沪深</w:t>
            </w:r>
            <w:r w:rsidRPr="00887861">
              <w:rPr>
                <w:rFonts w:ascii="Arial" w:hAnsi="Arial" w:cs="Arial"/>
                <w:sz w:val="24"/>
                <w:szCs w:val="24"/>
              </w:rPr>
              <w:t>300</w:t>
            </w:r>
            <w:r w:rsidRPr="00887861">
              <w:rPr>
                <w:rFonts w:ascii="Arial" w:hAnsi="Arial" w:cs="Arial"/>
                <w:sz w:val="24"/>
                <w:szCs w:val="24"/>
              </w:rPr>
              <w:t>指数呈冲高回落态势，最终收于</w:t>
            </w:r>
            <w:r w:rsidRPr="00887861">
              <w:rPr>
                <w:rFonts w:ascii="Arial" w:hAnsi="Arial" w:cs="Arial"/>
                <w:sz w:val="24"/>
                <w:szCs w:val="24"/>
              </w:rPr>
              <w:t>3571.731</w:t>
            </w:r>
            <w:r w:rsidRPr="00887861">
              <w:rPr>
                <w:rFonts w:ascii="Arial" w:hAnsi="Arial" w:cs="Arial"/>
                <w:sz w:val="24"/>
                <w:szCs w:val="24"/>
              </w:rPr>
              <w:t>点，上涨</w:t>
            </w:r>
            <w:r w:rsidRPr="00887861">
              <w:rPr>
                <w:rFonts w:ascii="Arial" w:hAnsi="Arial" w:cs="Arial"/>
                <w:sz w:val="24"/>
                <w:szCs w:val="24"/>
              </w:rPr>
              <w:t>4.12</w:t>
            </w:r>
            <w:r w:rsidRPr="00887861">
              <w:rPr>
                <w:rFonts w:ascii="Arial" w:hAnsi="Arial" w:cs="Arial"/>
                <w:sz w:val="24"/>
                <w:szCs w:val="24"/>
              </w:rPr>
              <w:t>点，涨幅</w:t>
            </w:r>
            <w:r w:rsidRPr="00887861">
              <w:rPr>
                <w:rFonts w:ascii="Arial" w:hAnsi="Arial" w:cs="Arial"/>
                <w:sz w:val="24"/>
                <w:szCs w:val="24"/>
              </w:rPr>
              <w:t>0.12%</w:t>
            </w:r>
            <w:r w:rsidRPr="00887861">
              <w:rPr>
                <w:rFonts w:ascii="Arial" w:hAnsi="Arial" w:cs="Arial"/>
                <w:sz w:val="24"/>
                <w:szCs w:val="24"/>
              </w:rPr>
              <w:t>，成交金额为</w:t>
            </w:r>
            <w:r w:rsidRPr="00887861">
              <w:rPr>
                <w:rFonts w:ascii="Arial" w:hAnsi="Arial" w:cs="Arial"/>
                <w:sz w:val="24"/>
                <w:szCs w:val="24"/>
              </w:rPr>
              <w:t>3618.4</w:t>
            </w:r>
            <w:r w:rsidRPr="00887861">
              <w:rPr>
                <w:rFonts w:ascii="Arial" w:hAnsi="Arial" w:cs="Arial"/>
                <w:sz w:val="24"/>
                <w:szCs w:val="24"/>
              </w:rPr>
              <w:t>亿元，较上一交易日有所放量；主力合约上涨</w:t>
            </w:r>
            <w:r w:rsidRPr="00887861">
              <w:rPr>
                <w:rFonts w:ascii="Arial" w:hAnsi="Arial" w:cs="Arial"/>
                <w:sz w:val="24"/>
                <w:szCs w:val="24"/>
              </w:rPr>
              <w:t>23</w:t>
            </w:r>
            <w:r w:rsidRPr="00887861">
              <w:rPr>
                <w:rFonts w:ascii="Arial" w:hAnsi="Arial" w:cs="Arial"/>
                <w:sz w:val="24"/>
                <w:szCs w:val="24"/>
              </w:rPr>
              <w:t>点，涨幅</w:t>
            </w:r>
            <w:r w:rsidRPr="00887861">
              <w:rPr>
                <w:rFonts w:ascii="Arial" w:hAnsi="Arial" w:cs="Arial"/>
                <w:sz w:val="24"/>
                <w:szCs w:val="24"/>
              </w:rPr>
              <w:t>0.64%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。技术上看，指数日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K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线站稳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3500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点，均线指标呈现出多头排列；周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K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线</w:t>
            </w:r>
            <w:r w:rsidRPr="00887861">
              <w:rPr>
                <w:rFonts w:ascii="Arial" w:hAnsi="Arial" w:cs="Arial"/>
                <w:sz w:val="24"/>
                <w:szCs w:val="24"/>
              </w:rPr>
              <w:t>收长阳跌</w:t>
            </w:r>
            <w:r w:rsidRPr="00887861">
              <w:rPr>
                <w:rFonts w:ascii="Arial" w:hAnsi="Arial" w:cs="Arial"/>
                <w:sz w:val="24"/>
                <w:szCs w:val="24"/>
              </w:rPr>
              <w:t>1.74%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，收盘价站稳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5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周均线上方。技术上整体看仍呈现多头排列。消息面看，沪津两会谋划自贸区新战略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 xml:space="preserve"> 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想接轨一带一路战略，中国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月汇丰制造业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PMI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初值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49.8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，好于预期，经济有所稳企稳，整天看消息面偏暖，建议股指以观望或者逢低布局多单为主。</w:t>
            </w:r>
          </w:p>
        </w:tc>
      </w:tr>
      <w:tr w:rsidR="009C6CBD" w:rsidRPr="008A43E0" w:rsidTr="00DA1152">
        <w:trPr>
          <w:trHeight w:val="285"/>
        </w:trPr>
        <w:tc>
          <w:tcPr>
            <w:tcW w:w="317" w:type="pct"/>
            <w:vMerge/>
          </w:tcPr>
          <w:p w:rsidR="009C6CBD" w:rsidRPr="00237489" w:rsidRDefault="009C6CBD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DA1152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菜</w:t>
            </w:r>
          </w:p>
          <w:p w:rsidR="009C6CBD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粕</w:t>
            </w:r>
          </w:p>
        </w:tc>
        <w:tc>
          <w:tcPr>
            <w:tcW w:w="4388" w:type="pct"/>
            <w:gridSpan w:val="2"/>
          </w:tcPr>
          <w:p w:rsidR="009C6CBD" w:rsidRPr="00887861" w:rsidRDefault="00DA1152" w:rsidP="00D843B2">
            <w:pPr>
              <w:ind w:rightChars="-20" w:right="-42"/>
              <w:rPr>
                <w:rFonts w:hAnsi="Times New Roman" w:cs="宋体"/>
                <w:kern w:val="0"/>
                <w:sz w:val="24"/>
                <w:szCs w:val="24"/>
              </w:rPr>
            </w:pP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技术上看，</w:t>
            </w:r>
            <w:r w:rsidR="008E23B0"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国内菜粕以底部震荡为主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，</w:t>
            </w:r>
            <w:r w:rsidR="00D843B2" w:rsidRPr="00887861">
              <w:rPr>
                <w:rFonts w:ascii="Arial" w:hAnsi="Arial" w:cs="Arial" w:hint="eastAsia"/>
                <w:sz w:val="24"/>
                <w:szCs w:val="24"/>
              </w:rPr>
              <w:t>上周五</w:t>
            </w:r>
            <w:r w:rsidR="008E23B0" w:rsidRPr="00887861">
              <w:rPr>
                <w:rFonts w:ascii="Arial" w:hAnsi="Arial" w:cs="Arial" w:hint="eastAsia"/>
                <w:sz w:val="24"/>
                <w:szCs w:val="24"/>
              </w:rPr>
              <w:t>以</w:t>
            </w:r>
            <w:r w:rsidR="00D843B2" w:rsidRPr="00887861">
              <w:rPr>
                <w:rFonts w:ascii="Arial" w:hAnsi="Arial" w:cs="Arial" w:hint="eastAsia"/>
                <w:sz w:val="24"/>
                <w:szCs w:val="24"/>
              </w:rPr>
              <w:t>十字星收盘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，</w:t>
            </w:r>
            <w:r w:rsidR="00085176"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再次考验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2100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点支撑。</w:t>
            </w:r>
            <w:r w:rsidRPr="00887861">
              <w:rPr>
                <w:rFonts w:ascii="Arial" w:hAnsi="Arial" w:cs="Arial"/>
                <w:sz w:val="24"/>
                <w:szCs w:val="24"/>
              </w:rPr>
              <w:t>据中华油脂网数据，湖北地区菜粕价格</w:t>
            </w:r>
            <w:r w:rsidRPr="00887861">
              <w:rPr>
                <w:rFonts w:ascii="Arial" w:hAnsi="Arial" w:cs="Arial"/>
                <w:sz w:val="24"/>
                <w:szCs w:val="24"/>
              </w:rPr>
              <w:t>2220-2250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吨，行情持稳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。</w:t>
            </w:r>
            <w:r w:rsidR="00782B69" w:rsidRPr="00887861">
              <w:rPr>
                <w:rFonts w:ascii="Arial" w:hAnsi="Arial" w:cs="Arial" w:hint="eastAsia"/>
                <w:sz w:val="24"/>
                <w:szCs w:val="24"/>
              </w:rPr>
              <w:t>从外盘市场看，美盘豆粕反弹，跌势放缓对国内菜粕形成一定的带动作用，在国内菜粕现货市场供应压力大局面尚未改变，对期货市场价格有一定的压制作用，建议以逢低布局布局多单短线操作为主。</w:t>
            </w:r>
          </w:p>
        </w:tc>
      </w:tr>
      <w:tr w:rsidR="004B63B3" w:rsidRPr="00453CC3" w:rsidTr="00DA1152">
        <w:trPr>
          <w:trHeight w:val="285"/>
        </w:trPr>
        <w:tc>
          <w:tcPr>
            <w:tcW w:w="317" w:type="pct"/>
            <w:vMerge/>
          </w:tcPr>
          <w:p w:rsidR="004B63B3" w:rsidRPr="00237489" w:rsidRDefault="004B63B3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DA1152" w:rsidRPr="00887861" w:rsidRDefault="004B63B3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郑</w:t>
            </w:r>
          </w:p>
          <w:p w:rsidR="004B63B3" w:rsidRPr="00887861" w:rsidRDefault="004B63B3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油</w:t>
            </w:r>
          </w:p>
        </w:tc>
        <w:tc>
          <w:tcPr>
            <w:tcW w:w="4388" w:type="pct"/>
            <w:gridSpan w:val="2"/>
          </w:tcPr>
          <w:p w:rsidR="004B63B3" w:rsidRPr="00887861" w:rsidRDefault="00D843B2" w:rsidP="00D843B2">
            <w:pPr>
              <w:rPr>
                <w:rFonts w:hAnsi="Times New Roman" w:cs="宋体"/>
                <w:kern w:val="0"/>
                <w:sz w:val="24"/>
                <w:szCs w:val="24"/>
              </w:rPr>
            </w:pPr>
            <w:r w:rsidRPr="00887861">
              <w:rPr>
                <w:rFonts w:ascii="Arial" w:hAnsi="Arial" w:cs="Arial"/>
                <w:sz w:val="24"/>
                <w:szCs w:val="24"/>
              </w:rPr>
              <w:t>郑油</w:t>
            </w:r>
            <w:r w:rsidRPr="00887861">
              <w:rPr>
                <w:rFonts w:ascii="Arial" w:hAnsi="Arial" w:cs="Arial"/>
                <w:sz w:val="24"/>
                <w:szCs w:val="24"/>
              </w:rPr>
              <w:t>1505</w:t>
            </w:r>
            <w:r w:rsidRPr="00887861">
              <w:rPr>
                <w:rFonts w:ascii="Arial" w:hAnsi="Arial" w:cs="Arial"/>
                <w:sz w:val="24"/>
                <w:szCs w:val="24"/>
              </w:rPr>
              <w:t>合约低开运行，收报</w:t>
            </w:r>
            <w:r w:rsidRPr="00887861">
              <w:rPr>
                <w:rFonts w:ascii="Arial" w:hAnsi="Arial" w:cs="Arial"/>
                <w:sz w:val="24"/>
                <w:szCs w:val="24"/>
              </w:rPr>
              <w:t>5954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吨，跌幅为</w:t>
            </w:r>
            <w:r w:rsidRPr="00887861">
              <w:rPr>
                <w:rFonts w:ascii="Arial" w:hAnsi="Arial" w:cs="Arial"/>
                <w:sz w:val="24"/>
                <w:szCs w:val="24"/>
              </w:rPr>
              <w:t>0.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17</w:t>
            </w:r>
            <w:r w:rsidRPr="00887861">
              <w:rPr>
                <w:rFonts w:ascii="Arial" w:hAnsi="Arial" w:cs="Arial"/>
                <w:sz w:val="24"/>
                <w:szCs w:val="24"/>
              </w:rPr>
              <w:t>%</w:t>
            </w:r>
            <w:r w:rsidRPr="00887861">
              <w:rPr>
                <w:rFonts w:ascii="Arial" w:hAnsi="Arial" w:cs="Arial"/>
                <w:sz w:val="24"/>
                <w:szCs w:val="24"/>
              </w:rPr>
              <w:t>。湖北地区国产四级菜油一般在</w:t>
            </w:r>
            <w:r w:rsidRPr="00887861">
              <w:rPr>
                <w:rFonts w:ascii="Arial" w:hAnsi="Arial" w:cs="Arial"/>
                <w:sz w:val="24"/>
                <w:szCs w:val="24"/>
              </w:rPr>
              <w:t>8000-8100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吨，国产菜油基本有价无市，主要销售进口菜油，进口菜油报价</w:t>
            </w:r>
            <w:r w:rsidRPr="00887861">
              <w:rPr>
                <w:rFonts w:ascii="Arial" w:hAnsi="Arial" w:cs="Arial"/>
                <w:sz w:val="24"/>
                <w:szCs w:val="24"/>
              </w:rPr>
              <w:t>6300-6350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吨，行情持稳。郑油</w:t>
            </w:r>
            <w:r w:rsidRPr="00887861">
              <w:rPr>
                <w:rFonts w:ascii="Arial" w:hAnsi="Arial" w:cs="Arial"/>
                <w:sz w:val="24"/>
                <w:szCs w:val="24"/>
              </w:rPr>
              <w:t>1505</w:t>
            </w:r>
            <w:r w:rsidRPr="00887861">
              <w:rPr>
                <w:rFonts w:ascii="Arial" w:hAnsi="Arial" w:cs="Arial"/>
                <w:sz w:val="24"/>
                <w:szCs w:val="24"/>
              </w:rPr>
              <w:t>合约反弹乏力延续振荡整理走势，建议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暂时以观望为主。</w:t>
            </w:r>
          </w:p>
        </w:tc>
      </w:tr>
      <w:tr w:rsidR="001F4380" w:rsidRPr="009C6CBD" w:rsidTr="001F4380">
        <w:trPr>
          <w:trHeight w:val="285"/>
        </w:trPr>
        <w:tc>
          <w:tcPr>
            <w:tcW w:w="317" w:type="pct"/>
            <w:vMerge w:val="restart"/>
            <w:textDirection w:val="tbRlV"/>
            <w:vAlign w:val="center"/>
          </w:tcPr>
          <w:p w:rsidR="001F4380" w:rsidRPr="00043DD8" w:rsidRDefault="001F4380" w:rsidP="001F4380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1F4380" w:rsidRPr="00887861" w:rsidRDefault="001F4380" w:rsidP="001F4380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铜</w:t>
            </w:r>
          </w:p>
        </w:tc>
        <w:tc>
          <w:tcPr>
            <w:tcW w:w="4388" w:type="pct"/>
            <w:gridSpan w:val="2"/>
          </w:tcPr>
          <w:p w:rsidR="001F4380" w:rsidRPr="00887861" w:rsidRDefault="00D843B2" w:rsidP="001F4380">
            <w:pPr>
              <w:spacing w:before="100" w:beforeAutospacing="1" w:after="100" w:afterAutospacing="1" w:line="299" w:lineRule="atLeast"/>
              <w:ind w:right="10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主力合约成交量增加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13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万手，持仓量激增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48244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手，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1505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合约成交量增加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27128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手，持仓量增加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14498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手，整体受均线压制，空头力量仍引导市场。现货市场好铜供应充裕，市场升水下降，主流报贴水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30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元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/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-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升水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元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/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吨，成交未有明显放大，上期所今日公布当周铜库存减少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2679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134137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吨，而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LME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铜库存持续增加，比年初已上涨四分之一、至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22.50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万吨以上，本轮由外盘引导的铜价下跌还未走到尽头，空头势力仍在加码，投资者可以适当逢高做空。</w:t>
            </w:r>
          </w:p>
        </w:tc>
      </w:tr>
      <w:tr w:rsidR="001F4380" w:rsidRPr="001607C8" w:rsidTr="001F4380">
        <w:trPr>
          <w:trHeight w:val="285"/>
        </w:trPr>
        <w:tc>
          <w:tcPr>
            <w:tcW w:w="317" w:type="pct"/>
            <w:vMerge/>
          </w:tcPr>
          <w:p w:rsidR="001F4380" w:rsidRPr="00237489" w:rsidRDefault="001F4380" w:rsidP="001F4380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1F4380" w:rsidRPr="00887861" w:rsidRDefault="001F4380" w:rsidP="001F4380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天</w:t>
            </w:r>
          </w:p>
          <w:p w:rsidR="001F4380" w:rsidRPr="00887861" w:rsidRDefault="001F4380" w:rsidP="001F4380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胶</w:t>
            </w:r>
          </w:p>
        </w:tc>
        <w:tc>
          <w:tcPr>
            <w:tcW w:w="4388" w:type="pct"/>
            <w:gridSpan w:val="2"/>
          </w:tcPr>
          <w:p w:rsidR="001F4380" w:rsidRPr="00887861" w:rsidRDefault="00D843B2" w:rsidP="001F4380">
            <w:pPr>
              <w:spacing w:before="100" w:beforeAutospacing="1" w:after="100" w:afterAutospacing="1" w:line="299" w:lineRule="atLeast"/>
              <w:ind w:right="10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海关数据，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2014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年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12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月天然橡胶进口量为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283,710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吨，环比增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30%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，比去年同期降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18%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；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12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月合成橡胶进口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129,740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吨，环比降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15.5%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，同比降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7.6%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。泰国救市政策加码，泰国家维和委员会副主席巴逸与橡胶协会主席猜越、橡胶企业代表举行会议，承诺将胶价在一个月内提升至每公斤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80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泰铢，虽然尚未出台具体措施，但后续救市政策很可能影响市场。目前天胶价格窄幅震荡，前期箱体震荡区间上下方均空间有限，不是合适入场点，建议暂时观望。</w:t>
            </w:r>
          </w:p>
        </w:tc>
      </w:tr>
      <w:tr w:rsidR="00887861" w:rsidRPr="001607C8" w:rsidTr="001F4380">
        <w:trPr>
          <w:trHeight w:val="285"/>
        </w:trPr>
        <w:tc>
          <w:tcPr>
            <w:tcW w:w="317" w:type="pct"/>
          </w:tcPr>
          <w:p w:rsidR="00887861" w:rsidRPr="00237489" w:rsidRDefault="00887861" w:rsidP="00887861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887861" w:rsidRPr="00887861" w:rsidRDefault="00887861" w:rsidP="00887861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玻璃</w:t>
            </w:r>
          </w:p>
        </w:tc>
        <w:tc>
          <w:tcPr>
            <w:tcW w:w="4388" w:type="pct"/>
            <w:gridSpan w:val="2"/>
          </w:tcPr>
          <w:p w:rsidR="00887861" w:rsidRPr="00887861" w:rsidRDefault="00887861" w:rsidP="00887861">
            <w:pPr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玻璃主力合约震荡回落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盘末小幅收阴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.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总体持仓大幅减少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下游市场需求减少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贸易商备货意愿不强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多地生产企业以压库回款为主要目的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预计未来将延续震荡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操作上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920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一线逢高沽空操作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.</w:t>
            </w:r>
          </w:p>
        </w:tc>
      </w:tr>
      <w:tr w:rsidR="00887861" w:rsidRPr="001607C8" w:rsidTr="001F4380">
        <w:trPr>
          <w:trHeight w:val="285"/>
        </w:trPr>
        <w:tc>
          <w:tcPr>
            <w:tcW w:w="317" w:type="pct"/>
          </w:tcPr>
          <w:p w:rsidR="00887861" w:rsidRPr="00237489" w:rsidRDefault="00887861" w:rsidP="00887861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887861" w:rsidRPr="00887861" w:rsidRDefault="00887861" w:rsidP="00887861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PTA</w:t>
            </w:r>
          </w:p>
        </w:tc>
        <w:tc>
          <w:tcPr>
            <w:tcW w:w="4388" w:type="pct"/>
            <w:gridSpan w:val="2"/>
          </w:tcPr>
          <w:p w:rsidR="00887861" w:rsidRPr="00887861" w:rsidRDefault="00887861" w:rsidP="00887861">
            <w:pPr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从基本面来看，隔夜美原油主力收盘价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45.26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美元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/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桶，与前日下跌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2.20%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。前数日原油价格大幅下跌，再次测试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45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美元支撑位。技术上看，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PTA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主力在期价连续上涨后收出阴线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但反弹趋势还未结束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.4800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压力较大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,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建议观望为主。</w:t>
            </w:r>
          </w:p>
        </w:tc>
      </w:tr>
    </w:tbl>
    <w:p w:rsidR="00BA1931" w:rsidRDefault="00BA1931" w:rsidP="006253AD">
      <w:pPr>
        <w:rPr>
          <w:rFonts w:ascii="华文细黑" w:eastAsia="华文细黑" w:hAnsi="华文细黑" w:cs="Arial" w:hint="eastAsia"/>
          <w:b/>
          <w:color w:val="FF0000"/>
          <w:spacing w:val="-4"/>
          <w:sz w:val="18"/>
          <w:szCs w:val="18"/>
        </w:rPr>
      </w:pPr>
    </w:p>
    <w:p w:rsidR="00887861" w:rsidRPr="007A5B50" w:rsidRDefault="00887861" w:rsidP="006253AD">
      <w:pPr>
        <w:rPr>
          <w:rFonts w:ascii="华文细黑" w:eastAsia="华文细黑" w:hAnsi="华文细黑" w:cs="Arial"/>
          <w:b/>
          <w:color w:val="FF0000"/>
          <w:spacing w:val="-4"/>
          <w:sz w:val="18"/>
          <w:szCs w:val="18"/>
        </w:rPr>
      </w:pPr>
    </w:p>
    <w:p w:rsidR="006253AD" w:rsidRDefault="00160784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  <w:r>
        <w:rPr>
          <w:rFonts w:hAnsi="Times New Roman" w:cs="宋体"/>
          <w:noProof/>
          <w:kern w:val="0"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-1.1pt;margin-top:11.9pt;width:64.8pt;height:36.7pt;z-index:251667456;mso-width-relative:margin;mso-height-relative:margin" fillcolor="#c9675f" stroked="f">
            <v:textbox style="mso-next-textbox:#_x0000_s1034">
              <w:txbxContent>
                <w:p w:rsidR="006253AD" w:rsidRPr="00747401" w:rsidRDefault="006253AD" w:rsidP="006253AD">
                  <w:pPr>
                    <w:rPr>
                      <w:rFonts w:ascii="华文细黑" w:eastAsia="华文细黑" w:hAnsi="华文细黑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747401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4"/>
                      <w:szCs w:val="24"/>
                    </w:rPr>
                    <w:t>免责声明</w:t>
                  </w:r>
                </w:p>
              </w:txbxContent>
            </v:textbox>
          </v:shape>
        </w:pict>
      </w: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Pr="001207BA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  <w:r>
        <w:rPr>
          <w:rFonts w:hAnsi="Times New Roman" w:cs="宋体" w:hint="eastAsia"/>
          <w:kern w:val="0"/>
          <w:sz w:val="18"/>
          <w:szCs w:val="18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p w:rsidR="003D7B4E" w:rsidRPr="006253AD" w:rsidRDefault="003D7B4E" w:rsidP="003D7B4E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sectPr w:rsidR="003D7B4E" w:rsidRPr="006253AD" w:rsidSect="001C4D1C">
      <w:pgSz w:w="11906" w:h="16838"/>
      <w:pgMar w:top="454" w:right="454" w:bottom="454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56B" w:rsidRDefault="00AF056B" w:rsidP="005D403B">
      <w:r>
        <w:separator/>
      </w:r>
    </w:p>
  </w:endnote>
  <w:endnote w:type="continuationSeparator" w:id="1">
    <w:p w:rsidR="00AF056B" w:rsidRDefault="00AF056B" w:rsidP="005D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56B" w:rsidRDefault="00AF056B" w:rsidP="005D403B">
      <w:r>
        <w:separator/>
      </w:r>
    </w:p>
  </w:footnote>
  <w:footnote w:type="continuationSeparator" w:id="1">
    <w:p w:rsidR="00AF056B" w:rsidRDefault="00AF056B" w:rsidP="005D4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2066"/>
    <w:multiLevelType w:val="multilevel"/>
    <w:tmpl w:val="40EAE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2450B"/>
    <w:multiLevelType w:val="multilevel"/>
    <w:tmpl w:val="E898D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3D0FAB"/>
    <w:multiLevelType w:val="multilevel"/>
    <w:tmpl w:val="7FC8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34F012"/>
    <w:multiLevelType w:val="singleLevel"/>
    <w:tmpl w:val="5434F012"/>
    <w:lvl w:ilvl="0">
      <w:start w:val="1"/>
      <w:numFmt w:val="decimal"/>
      <w:suff w:val="nothing"/>
      <w:lvlText w:val="%1、"/>
      <w:lvlJc w:val="left"/>
    </w:lvl>
  </w:abstractNum>
  <w:abstractNum w:abstractNumId="4">
    <w:nsid w:val="5434F30A"/>
    <w:multiLevelType w:val="singleLevel"/>
    <w:tmpl w:val="5434F30A"/>
    <w:lvl w:ilvl="0">
      <w:start w:val="1"/>
      <w:numFmt w:val="decimal"/>
      <w:suff w:val="nothing"/>
      <w:lvlText w:val="%1、"/>
      <w:lvlJc w:val="left"/>
    </w:lvl>
  </w:abstractNum>
  <w:abstractNum w:abstractNumId="5">
    <w:nsid w:val="5434F369"/>
    <w:multiLevelType w:val="singleLevel"/>
    <w:tmpl w:val="5434F369"/>
    <w:lvl w:ilvl="0">
      <w:start w:val="1"/>
      <w:numFmt w:val="decimal"/>
      <w:suff w:val="nothing"/>
      <w:lvlText w:val="%1、"/>
      <w:lvlJc w:val="left"/>
    </w:lvl>
  </w:abstractNum>
  <w:abstractNum w:abstractNumId="6">
    <w:nsid w:val="543B3A26"/>
    <w:multiLevelType w:val="singleLevel"/>
    <w:tmpl w:val="543B3A26"/>
    <w:lvl w:ilvl="0">
      <w:start w:val="1"/>
      <w:numFmt w:val="decimal"/>
      <w:suff w:val="nothing"/>
      <w:lvlText w:val="%1、"/>
      <w:lvlJc w:val="left"/>
    </w:lvl>
  </w:abstractNum>
  <w:abstractNum w:abstractNumId="7">
    <w:nsid w:val="543B72D9"/>
    <w:multiLevelType w:val="singleLevel"/>
    <w:tmpl w:val="543B72D9"/>
    <w:lvl w:ilvl="0">
      <w:start w:val="1"/>
      <w:numFmt w:val="decimal"/>
      <w:suff w:val="nothing"/>
      <w:lvlText w:val="%1、"/>
      <w:lvlJc w:val="left"/>
    </w:lvl>
  </w:abstractNum>
  <w:abstractNum w:abstractNumId="8">
    <w:nsid w:val="543B7EF3"/>
    <w:multiLevelType w:val="singleLevel"/>
    <w:tmpl w:val="543B7EF3"/>
    <w:lvl w:ilvl="0">
      <w:start w:val="1"/>
      <w:numFmt w:val="decimal"/>
      <w:suff w:val="nothing"/>
      <w:lvlText w:val="%1、"/>
      <w:lvlJc w:val="left"/>
    </w:lvl>
  </w:abstractNum>
  <w:abstractNum w:abstractNumId="9">
    <w:nsid w:val="543B7F29"/>
    <w:multiLevelType w:val="singleLevel"/>
    <w:tmpl w:val="543B7F29"/>
    <w:lvl w:ilvl="0">
      <w:start w:val="1"/>
      <w:numFmt w:val="decimal"/>
      <w:suff w:val="nothing"/>
      <w:lvlText w:val="%1、"/>
      <w:lvlJc w:val="left"/>
    </w:lvl>
  </w:abstractNum>
  <w:abstractNum w:abstractNumId="10">
    <w:nsid w:val="543DBDC3"/>
    <w:multiLevelType w:val="singleLevel"/>
    <w:tmpl w:val="543DBDC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1">
    <w:nsid w:val="543DBE5A"/>
    <w:multiLevelType w:val="singleLevel"/>
    <w:tmpl w:val="543DBE5A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2">
    <w:nsid w:val="5D735B8F"/>
    <w:multiLevelType w:val="hybridMultilevel"/>
    <w:tmpl w:val="611254C6"/>
    <w:lvl w:ilvl="0" w:tplc="03D2D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18860CD"/>
    <w:multiLevelType w:val="multilevel"/>
    <w:tmpl w:val="A6409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3F5EED"/>
    <w:multiLevelType w:val="multilevel"/>
    <w:tmpl w:val="DB8E8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4"/>
  </w:num>
  <w:num w:numId="5">
    <w:abstractNumId w:val="1"/>
  </w:num>
  <w:num w:numId="6">
    <w:abstractNumId w:val="0"/>
  </w:num>
  <w:num w:numId="7">
    <w:abstractNumId w:val="7"/>
  </w:num>
  <w:num w:numId="8">
    <w:abstractNumId w:val="6"/>
  </w:num>
  <w:num w:numId="9">
    <w:abstractNumId w:val="4"/>
  </w:num>
  <w:num w:numId="10">
    <w:abstractNumId w:val="9"/>
  </w:num>
  <w:num w:numId="11">
    <w:abstractNumId w:val="3"/>
  </w:num>
  <w:num w:numId="12">
    <w:abstractNumId w:val="5"/>
  </w:num>
  <w:num w:numId="13">
    <w:abstractNumId w:val="8"/>
  </w:num>
  <w:num w:numId="14">
    <w:abstractNumId w:val="7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11"/>
    <w:lvlOverride w:ilvl="0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24066">
      <o:colormru v:ext="edit" colors="#3b7ae1,#4576d7,#4878d8,#3187c1,#1c60e8,#165fd8,#1d6ed1,#3886e4"/>
      <o:colormenu v:ext="edit" fillcolor="#3187c1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955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5176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84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4380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61A"/>
    <w:rsid w:val="00332FF2"/>
    <w:rsid w:val="00333BFA"/>
    <w:rsid w:val="003345BB"/>
    <w:rsid w:val="00335992"/>
    <w:rsid w:val="00335C53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5FFF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B3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70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D4A"/>
    <w:rsid w:val="00553DF3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41FE"/>
    <w:rsid w:val="006944A9"/>
    <w:rsid w:val="0069486F"/>
    <w:rsid w:val="006949F4"/>
    <w:rsid w:val="00694B26"/>
    <w:rsid w:val="00694FE4"/>
    <w:rsid w:val="00695190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1F4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68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B69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5B50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0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FC"/>
    <w:rsid w:val="0082116C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3D8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4152"/>
    <w:rsid w:val="00884D33"/>
    <w:rsid w:val="00885551"/>
    <w:rsid w:val="00886254"/>
    <w:rsid w:val="008863D1"/>
    <w:rsid w:val="008870D5"/>
    <w:rsid w:val="00887861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3B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6CBD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583"/>
    <w:rsid w:val="00A65691"/>
    <w:rsid w:val="00A656B4"/>
    <w:rsid w:val="00A65D59"/>
    <w:rsid w:val="00A65E38"/>
    <w:rsid w:val="00A670C5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358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56B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6236"/>
    <w:rsid w:val="00C06340"/>
    <w:rsid w:val="00C06943"/>
    <w:rsid w:val="00C06C3C"/>
    <w:rsid w:val="00C07289"/>
    <w:rsid w:val="00C07806"/>
    <w:rsid w:val="00C1005A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2D6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E2A"/>
    <w:rsid w:val="00D83037"/>
    <w:rsid w:val="00D83D49"/>
    <w:rsid w:val="00D843B2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152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6E04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6D21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829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436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DCA"/>
    <w:rsid w:val="00EE1DE2"/>
    <w:rsid w:val="00EE1FA5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5D45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24066">
      <o:colormru v:ext="edit" colors="#3b7ae1,#4576d7,#4878d8,#3187c1,#1c60e8,#165fd8,#1d6ed1,#3886e4"/>
      <o:colormenu v:ext="edit" fillcolor="#3187c1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34"/>
    <w:pPr>
      <w:widowControl w:val="0"/>
      <w:jc w:val="both"/>
    </w:pPr>
  </w:style>
  <w:style w:type="paragraph" w:styleId="1">
    <w:name w:val="heading 1"/>
    <w:basedOn w:val="a"/>
    <w:link w:val="1Char"/>
    <w:uiPriority w:val="99"/>
    <w:qFormat/>
    <w:rsid w:val="00664C4F"/>
    <w:pPr>
      <w:widowControl/>
      <w:spacing w:before="150"/>
      <w:jc w:val="center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4C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0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03B"/>
    <w:rPr>
      <w:sz w:val="18"/>
      <w:szCs w:val="18"/>
    </w:rPr>
  </w:style>
  <w:style w:type="character" w:styleId="a5">
    <w:name w:val="Hyperlink"/>
    <w:basedOn w:val="a0"/>
    <w:rsid w:val="00132BAE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B220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B2208"/>
  </w:style>
  <w:style w:type="table" w:styleId="a7">
    <w:name w:val="Table Grid"/>
    <w:basedOn w:val="a1"/>
    <w:uiPriority w:val="59"/>
    <w:rsid w:val="00717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1240286552msonormal">
    <w:name w:val="yiv1240286552msonormal"/>
    <w:basedOn w:val="a"/>
    <w:rsid w:val="00004B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04BC7"/>
    <w:pPr>
      <w:ind w:firstLineChars="200" w:firstLine="420"/>
    </w:pPr>
  </w:style>
  <w:style w:type="paragraph" w:customStyle="1" w:styleId="yiv1369622590msonormal">
    <w:name w:val="yiv1369622590msonormal"/>
    <w:basedOn w:val="a"/>
    <w:rsid w:val="004D1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normal">
    <w:name w:val="yiv690509581msonormal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listparagraph">
    <w:name w:val="yiv690509581msolistparagraph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normal">
    <w:name w:val="yiv40465906msonormal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listparagraph">
    <w:name w:val="yiv40465906msolistparagraph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sid w:val="00664C4F"/>
    <w:rPr>
      <w:rFonts w:ascii="宋体" w:eastAsia="宋体" w:hAnsi="宋体" w:cs="宋体"/>
      <w:b/>
      <w:bCs/>
      <w:kern w:val="36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B504E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504E8"/>
    <w:rPr>
      <w:sz w:val="18"/>
      <w:szCs w:val="18"/>
    </w:rPr>
  </w:style>
  <w:style w:type="character" w:customStyle="1" w:styleId="underline1">
    <w:name w:val="underline1"/>
    <w:basedOn w:val="a0"/>
    <w:rsid w:val="00F0335E"/>
    <w:rPr>
      <w:u w:val="single"/>
    </w:rPr>
  </w:style>
  <w:style w:type="paragraph" w:customStyle="1" w:styleId="yiv855455355msolistparagraph">
    <w:name w:val="yiv855455355msolistparagraph"/>
    <w:basedOn w:val="a"/>
    <w:rsid w:val="00D71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5C27D3"/>
    <w:rPr>
      <w:rFonts w:ascii="Calibri" w:hAnsi="Calibri" w:cs="Calibri" w:hint="default"/>
      <w:strike w:val="0"/>
      <w:dstrike w:val="0"/>
      <w:color w:val="2F2F2F"/>
      <w:sz w:val="20"/>
      <w:szCs w:val="20"/>
      <w:u w:val="none"/>
      <w:effect w:val="none"/>
    </w:rPr>
  </w:style>
  <w:style w:type="paragraph" w:styleId="aa">
    <w:name w:val="Normal (Web)"/>
    <w:basedOn w:val="a"/>
    <w:uiPriority w:val="99"/>
    <w:unhideWhenUsed/>
    <w:rsid w:val="004B2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xtcontent11">
    <w:name w:val="txtcontent11"/>
    <w:basedOn w:val="a0"/>
    <w:rsid w:val="006B2784"/>
    <w:rPr>
      <w:rFonts w:ascii="ˎ̥" w:hAnsi="ˎ̥" w:hint="default"/>
      <w:b w:val="0"/>
      <w:bCs w:val="0"/>
      <w:color w:val="000000"/>
      <w:sz w:val="17"/>
      <w:szCs w:val="17"/>
    </w:rPr>
  </w:style>
  <w:style w:type="character" w:customStyle="1" w:styleId="underlinedarkblue">
    <w:name w:val="underline darkblue"/>
    <w:basedOn w:val="a0"/>
    <w:rsid w:val="002F1723"/>
  </w:style>
  <w:style w:type="character" w:styleId="ab">
    <w:name w:val="Emphasis"/>
    <w:basedOn w:val="a0"/>
    <w:uiPriority w:val="20"/>
    <w:qFormat/>
    <w:rsid w:val="000761A1"/>
    <w:rPr>
      <w:b w:val="0"/>
      <w:bCs w:val="0"/>
      <w:i w:val="0"/>
      <w:iCs w:val="0"/>
      <w:color w:val="CC0033"/>
    </w:rPr>
  </w:style>
  <w:style w:type="character" w:styleId="ac">
    <w:name w:val="Strong"/>
    <w:basedOn w:val="a0"/>
    <w:uiPriority w:val="22"/>
    <w:qFormat/>
    <w:rsid w:val="001A1AF4"/>
    <w:rPr>
      <w:b/>
      <w:bCs/>
    </w:rPr>
  </w:style>
  <w:style w:type="character" w:customStyle="1" w:styleId="st1">
    <w:name w:val="st1"/>
    <w:basedOn w:val="a0"/>
    <w:rsid w:val="00F03262"/>
  </w:style>
  <w:style w:type="table" w:customStyle="1" w:styleId="-11">
    <w:name w:val="浅色网格 - 强调文字颜色 11"/>
    <w:basedOn w:val="a1"/>
    <w:uiPriority w:val="62"/>
    <w:rsid w:val="00D2352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2-11">
    <w:name w:val="中等深浅底纹 2 - 强调文字颜色 11"/>
    <w:basedOn w:val="a1"/>
    <w:uiPriority w:val="64"/>
    <w:rsid w:val="00D2352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a0"/>
    <w:rsid w:val="00D23523"/>
  </w:style>
  <w:style w:type="table" w:customStyle="1" w:styleId="2-12">
    <w:name w:val="中等深浅底纹 2 - 强调文字颜色 12"/>
    <w:basedOn w:val="a1"/>
    <w:uiPriority w:val="64"/>
    <w:rsid w:val="001B7A3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20">
    <w:name w:val="中等深浅底纹 2 - 强调文字颜色 12"/>
    <w:basedOn w:val="a1"/>
    <w:uiPriority w:val="64"/>
    <w:rsid w:val="00896BAA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">
    <w:name w:val="Light Shading Accent 2"/>
    <w:basedOn w:val="a1"/>
    <w:uiPriority w:val="60"/>
    <w:rsid w:val="00C441B7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customStyle="1" w:styleId="scayt-misspell">
    <w:name w:val="scayt-misspell"/>
    <w:basedOn w:val="a0"/>
    <w:rsid w:val="009E21AE"/>
  </w:style>
  <w:style w:type="table" w:customStyle="1" w:styleId="-110">
    <w:name w:val="浅色底纹 - 强调文字颜色 11"/>
    <w:basedOn w:val="a1"/>
    <w:uiPriority w:val="60"/>
    <w:rsid w:val="00185471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3Char">
    <w:name w:val="标题 3 Char"/>
    <w:basedOn w:val="a0"/>
    <w:link w:val="3"/>
    <w:uiPriority w:val="9"/>
    <w:semiHidden/>
    <w:rsid w:val="00B14C70"/>
    <w:rPr>
      <w:b/>
      <w:bCs/>
      <w:sz w:val="32"/>
      <w:szCs w:val="32"/>
    </w:rPr>
  </w:style>
  <w:style w:type="character" w:styleId="ad">
    <w:name w:val="FollowedHyperlink"/>
    <w:basedOn w:val="a0"/>
    <w:uiPriority w:val="99"/>
    <w:semiHidden/>
    <w:unhideWhenUsed/>
    <w:rsid w:val="005E01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97124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6502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82420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53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05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45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576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538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55721010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8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5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890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7949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171765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9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23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3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0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8886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104571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096851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1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2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5970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43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11157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1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3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8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9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7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7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96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5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7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5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0465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687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6261617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5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51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DDDDDD"/>
                        <w:left w:val="single" w:sz="6" w:space="0" w:color="DDDDDD"/>
                        <w:bottom w:val="single" w:sz="6" w:space="5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3799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8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5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2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8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8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8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0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89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3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1731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09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6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7233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36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5817439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9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4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81818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869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149815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43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4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7670">
              <w:marLeft w:val="0"/>
              <w:marRight w:val="0"/>
              <w:marTop w:val="0"/>
              <w:marBottom w:val="0"/>
              <w:divBdr>
                <w:top w:val="single" w:sz="24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4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9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79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2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617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600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13891341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7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2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83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074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89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3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6463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415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4756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CCCCCC"/>
                            <w:right w:val="none" w:sz="0" w:space="0" w:color="auto"/>
                          </w:divBdr>
                          <w:divsChild>
                            <w:div w:id="21485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5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8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1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5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0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8292">
          <w:marLeft w:val="181"/>
          <w:marRight w:val="1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1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4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435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7082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6878549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0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9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3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6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7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3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00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281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76626990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408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6840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5650263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1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6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4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9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9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3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4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8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5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2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0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4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5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8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519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0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59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31873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4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899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212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87862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5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23624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5407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3051721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5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36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7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4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9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388709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0807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137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3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9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4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97681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7706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95744682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9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1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7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1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8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1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19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9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6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9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321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9065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0478047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9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71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54743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57634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0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61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219480314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1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4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7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8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3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39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089348227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54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29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5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2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5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3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0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88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9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94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1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5283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876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3372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987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7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2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1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2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6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70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2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3412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2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3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0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5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4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8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1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5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0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82768">
          <w:marLeft w:val="0"/>
          <w:marRight w:val="0"/>
          <w:marTop w:val="0"/>
          <w:marBottom w:val="60"/>
          <w:divBdr>
            <w:top w:val="single" w:sz="6" w:space="3" w:color="DDDBDC"/>
            <w:left w:val="single" w:sz="6" w:space="8" w:color="DDDBDC"/>
            <w:bottom w:val="single" w:sz="6" w:space="3" w:color="DDDBDC"/>
            <w:right w:val="single" w:sz="6" w:space="6" w:color="DDDBDC"/>
          </w:divBdr>
          <w:divsChild>
            <w:div w:id="119180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8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21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11895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7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8415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2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0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31243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4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80365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17251">
              <w:marLeft w:val="0"/>
              <w:marRight w:val="0"/>
              <w:marTop w:val="0"/>
              <w:marBottom w:val="91"/>
              <w:divBdr>
                <w:top w:val="single" w:sz="4" w:space="9" w:color="CCD9E6"/>
                <w:left w:val="single" w:sz="4" w:space="0" w:color="CCD9E6"/>
                <w:bottom w:val="single" w:sz="4" w:space="7" w:color="CCD9E6"/>
                <w:right w:val="single" w:sz="4" w:space="0" w:color="CCD9E6"/>
              </w:divBdr>
              <w:divsChild>
                <w:div w:id="133761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1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7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1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2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9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3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24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26996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7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8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5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15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8192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329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3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1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37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53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1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62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2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7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9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52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2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184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2080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02678161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6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4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549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154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901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8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0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2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5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9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7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7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2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3863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4776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34343861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3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1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18207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024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7757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8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3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3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510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364944405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5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73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6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86214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314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63849024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6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3348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240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3458766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1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451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113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2649818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8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4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0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6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4998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62589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8162638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8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2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3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9962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60234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16464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9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5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2044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6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497008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8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9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53871">
          <w:marLeft w:val="0"/>
          <w:marRight w:val="0"/>
          <w:marTop w:val="14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505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  <w:divsChild>
                <w:div w:id="84019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3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6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6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8801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989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66954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0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60918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6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96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749344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6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02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8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761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8505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3227070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466C6-33D9-4732-BB34-E677836F0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351</Words>
  <Characters>2002</Characters>
  <Application>Microsoft Office Word</Application>
  <DocSecurity>0</DocSecurity>
  <Lines>16</Lines>
  <Paragraphs>4</Paragraphs>
  <ScaleCrop>false</ScaleCrop>
  <Company>Microsoft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hxshsh</dc:creator>
  <cp:lastModifiedBy>张林</cp:lastModifiedBy>
  <cp:revision>13</cp:revision>
  <cp:lastPrinted>2013-03-27T00:45:00Z</cp:lastPrinted>
  <dcterms:created xsi:type="dcterms:W3CDTF">2015-01-21T00:53:00Z</dcterms:created>
  <dcterms:modified xsi:type="dcterms:W3CDTF">2015-01-26T01:17:00Z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300143084</vt:i4>
  </property>
</Properties>
</file>