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BAE" w:rsidRPr="00C05907" w:rsidRDefault="0014213E">
      <w:pPr>
        <w:rPr>
          <w:sz w:val="24"/>
          <w:szCs w:val="24"/>
        </w:rPr>
      </w:pPr>
      <w:r w:rsidRPr="00C05907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138265</wp:posOffset>
            </wp:positionH>
            <wp:positionV relativeFrom="paragraph">
              <wp:posOffset>99336</wp:posOffset>
            </wp:positionV>
            <wp:extent cx="1136474" cy="1103244"/>
            <wp:effectExtent l="19050" t="0" r="6526" b="0"/>
            <wp:wrapNone/>
            <wp:docPr id="44" name="图片 9" descr="标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标识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474" cy="1103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5732">
        <w:rPr>
          <w:noProof/>
          <w:sz w:val="24"/>
          <w:szCs w:val="24"/>
        </w:rPr>
        <w:pict>
          <v:rect id="_x0000_s1026" style="position:absolute;left:0;text-align:left;margin-left:109.35pt;margin-top:14.2pt;width:471.85pt;height:53pt;z-index:251660288;mso-position-horizontal-relative:text;mso-position-vertical-relative:text" fillcolor="#b00000" stroked="f" strokecolor="#f2f2f2 [3041]" strokeweight="3pt">
            <v:shadow on="t" type="perspective" color="#205867 [1608]" opacity=".5" offset="1pt" offset2="-1pt"/>
            <v:textbox style="mso-next-textbox:#_x0000_s1026">
              <w:txbxContent>
                <w:p w:rsidR="005920B9" w:rsidRPr="00275374" w:rsidRDefault="005920B9" w:rsidP="005920B9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44"/>
                      <w:szCs w:val="44"/>
                    </w:rPr>
                  </w:pPr>
                  <w:r w:rsidRPr="00275374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44"/>
                      <w:szCs w:val="44"/>
                    </w:rPr>
                    <w:t>晨会纪要</w:t>
                  </w:r>
                </w:p>
                <w:p w:rsidR="00132BAE" w:rsidRPr="00B74C32" w:rsidRDefault="00132BAE" w:rsidP="00B74C32"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  <w:r w:rsidR="00B148DE" w:rsidRPr="00C05907">
        <w:rPr>
          <w:rFonts w:hint="eastAsia"/>
          <w:sz w:val="24"/>
          <w:szCs w:val="24"/>
        </w:rPr>
        <w:t xml:space="preserve"> </w:t>
      </w:r>
    </w:p>
    <w:p w:rsidR="00132BAE" w:rsidRPr="00C05907" w:rsidRDefault="00132BAE">
      <w:pPr>
        <w:rPr>
          <w:sz w:val="24"/>
          <w:szCs w:val="24"/>
        </w:rPr>
      </w:pPr>
    </w:p>
    <w:p w:rsidR="00132BAE" w:rsidRPr="00C05907" w:rsidRDefault="00132BAE">
      <w:pPr>
        <w:rPr>
          <w:sz w:val="24"/>
          <w:szCs w:val="24"/>
        </w:rPr>
      </w:pPr>
    </w:p>
    <w:p w:rsidR="00132BAE" w:rsidRPr="00C05907" w:rsidRDefault="00132BAE">
      <w:pPr>
        <w:rPr>
          <w:sz w:val="24"/>
          <w:szCs w:val="24"/>
        </w:rPr>
      </w:pPr>
    </w:p>
    <w:p w:rsidR="00132BAE" w:rsidRPr="00C05907" w:rsidRDefault="00475732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27" style="position:absolute;left:0;text-align:left;margin-left:109.35pt;margin-top:4.8pt;width:478.15pt;height:33.4pt;z-index:251661312" fillcolor="#3187c1" stroked="f" strokecolor="#06f">
            <v:textbox>
              <w:txbxContent>
                <w:p w:rsidR="0071760A" w:rsidRPr="007F2640" w:rsidRDefault="0071760A" w:rsidP="0071760A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AD7468">
                    <w:rPr>
                      <w:rFonts w:hint="eastAsia"/>
                      <w:b/>
                      <w:color w:val="FFFFFF" w:themeColor="background1"/>
                      <w:sz w:val="28"/>
                      <w:szCs w:val="28"/>
                    </w:rPr>
                    <w:t xml:space="preserve">  </w:t>
                  </w:r>
                  <w:r w:rsidR="002B5246"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江海</w:t>
                  </w:r>
                  <w:r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汇鑫商品市场每日研究</w:t>
                  </w:r>
                </w:p>
              </w:txbxContent>
            </v:textbox>
          </v:rect>
        </w:pict>
      </w:r>
    </w:p>
    <w:p w:rsidR="00132BAE" w:rsidRPr="00C05907" w:rsidRDefault="00132BAE">
      <w:pPr>
        <w:rPr>
          <w:sz w:val="24"/>
          <w:szCs w:val="24"/>
        </w:rPr>
      </w:pPr>
    </w:p>
    <w:p w:rsidR="00132BAE" w:rsidRPr="00C05907" w:rsidRDefault="002B5246" w:rsidP="00132BAE">
      <w:pPr>
        <w:jc w:val="left"/>
        <w:rPr>
          <w:rFonts w:ascii="华文细黑" w:eastAsia="华文细黑" w:hAnsi="华文细黑" w:cs="Arial"/>
          <w:b/>
          <w:color w:val="595959" w:themeColor="text1" w:themeTint="A6"/>
          <w:sz w:val="24"/>
          <w:szCs w:val="24"/>
        </w:rPr>
      </w:pPr>
      <w:r w:rsidRPr="00C05907">
        <w:rPr>
          <w:rFonts w:ascii="华文细黑" w:eastAsia="华文细黑" w:hAnsi="华文细黑" w:cs="Arial" w:hint="eastAsia"/>
          <w:b/>
          <w:color w:val="595959" w:themeColor="text1" w:themeTint="A6"/>
          <w:sz w:val="24"/>
          <w:szCs w:val="24"/>
        </w:rPr>
        <w:t>江海</w:t>
      </w:r>
      <w:r w:rsidR="00132BAE" w:rsidRPr="00C05907">
        <w:rPr>
          <w:rFonts w:ascii="华文细黑" w:eastAsia="华文细黑" w:hAnsi="华文细黑" w:cs="Arial" w:hint="eastAsia"/>
          <w:b/>
          <w:color w:val="595959" w:themeColor="text1" w:themeTint="A6"/>
          <w:sz w:val="24"/>
          <w:szCs w:val="24"/>
        </w:rPr>
        <w:t>汇鑫研究</w:t>
      </w:r>
      <w:r w:rsidR="00132BAE" w:rsidRPr="00C05907">
        <w:rPr>
          <w:rFonts w:ascii="华文细黑" w:eastAsia="华文细黑" w:hAnsi="华文细黑" w:cs="Arial"/>
          <w:b/>
          <w:color w:val="595959" w:themeColor="text1" w:themeTint="A6"/>
          <w:sz w:val="24"/>
          <w:szCs w:val="24"/>
        </w:rPr>
        <w:t xml:space="preserve">                                                             </w:t>
      </w:r>
      <w:r w:rsidR="00132BAE"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 xml:space="preserve">                                                             </w:t>
      </w:r>
    </w:p>
    <w:p w:rsidR="00132BAE" w:rsidRPr="00C05907" w:rsidRDefault="00132BAE" w:rsidP="00132BAE">
      <w:pPr>
        <w:jc w:val="left"/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</w:pP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电话：</w:t>
      </w: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021-68885583</w:t>
      </w: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 xml:space="preserve">/ </w:t>
      </w: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QQ</w:t>
      </w: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：</w:t>
      </w: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103928612</w:t>
      </w: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 xml:space="preserve"> 邮箱：</w:t>
      </w: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yu_winkey</w:t>
      </w: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@</w:t>
      </w: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yahoo</w:t>
      </w:r>
      <w:r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 xml:space="preserve">.com.cn              </w:t>
      </w:r>
    </w:p>
    <w:p w:rsidR="00132BAE" w:rsidRPr="00C05907" w:rsidRDefault="002B5246" w:rsidP="00132BAE">
      <w:pPr>
        <w:jc w:val="left"/>
        <w:rPr>
          <w:rFonts w:ascii="华文细黑" w:eastAsia="华文细黑" w:hAnsi="华文细黑" w:cs="Arial"/>
          <w:sz w:val="24"/>
          <w:szCs w:val="24"/>
        </w:rPr>
      </w:pPr>
      <w:r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江海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汇鑫</w:t>
      </w:r>
      <w:r w:rsidR="00132BAE"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期货研究中心 /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上海</w:t>
      </w:r>
      <w:r w:rsidR="00132BAE"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市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浦东新区张</w:t>
      </w:r>
      <w:r w:rsidR="002E76A7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杨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路500号时代广场15楼</w:t>
      </w:r>
      <w:r w:rsidR="00132BAE"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（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>200122</w:t>
      </w:r>
      <w:r w:rsidR="00132BAE" w:rsidRPr="00C05907">
        <w:rPr>
          <w:rFonts w:ascii="华文细黑" w:eastAsia="华文细黑" w:hAnsi="华文细黑" w:cs="Arial"/>
          <w:color w:val="595959" w:themeColor="text1" w:themeTint="A6"/>
          <w:sz w:val="24"/>
          <w:szCs w:val="24"/>
        </w:rPr>
        <w:t>）/</w:t>
      </w:r>
      <w:r w:rsidR="00132BAE" w:rsidRPr="00C05907">
        <w:rPr>
          <w:rFonts w:ascii="华文细黑" w:eastAsia="华文细黑" w:hAnsi="华文细黑" w:cs="Arial" w:hint="eastAsia"/>
          <w:color w:val="595959" w:themeColor="text1" w:themeTint="A6"/>
          <w:sz w:val="24"/>
          <w:szCs w:val="24"/>
        </w:rPr>
        <w:t xml:space="preserve"> </w:t>
      </w:r>
      <w:hyperlink r:id="rId9" w:history="1">
        <w:r w:rsidR="00132BAE" w:rsidRPr="00C05907">
          <w:rPr>
            <w:rStyle w:val="a5"/>
            <w:rFonts w:ascii="华文细黑" w:eastAsia="华文细黑" w:hAnsi="华文细黑" w:cs="Arial"/>
            <w:sz w:val="24"/>
            <w:szCs w:val="24"/>
          </w:rPr>
          <w:t>www.h</w:t>
        </w:r>
        <w:r w:rsidR="00132BAE" w:rsidRPr="00C05907">
          <w:rPr>
            <w:rStyle w:val="a5"/>
            <w:rFonts w:ascii="华文细黑" w:eastAsia="华文细黑" w:hAnsi="华文细黑" w:cs="Arial" w:hint="eastAsia"/>
            <w:sz w:val="24"/>
            <w:szCs w:val="24"/>
          </w:rPr>
          <w:t>x</w:t>
        </w:r>
        <w:r w:rsidR="00132BAE" w:rsidRPr="00C05907">
          <w:rPr>
            <w:rStyle w:val="a5"/>
            <w:rFonts w:ascii="华文细黑" w:eastAsia="华文细黑" w:hAnsi="华文细黑" w:cs="Arial"/>
            <w:sz w:val="24"/>
            <w:szCs w:val="24"/>
          </w:rPr>
          <w:t>qh.com</w:t>
        </w:r>
      </w:hyperlink>
    </w:p>
    <w:p w:rsidR="008258BD" w:rsidRPr="00C05907" w:rsidRDefault="00475732" w:rsidP="00132BAE">
      <w:pP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</w:pPr>
      <w:r>
        <w:rPr>
          <w:rFonts w:ascii="华文细黑" w:eastAsia="华文细黑" w:hAnsi="华文细黑" w:cs="Arial"/>
          <w:b/>
          <w:noProof/>
          <w:color w:val="C00000"/>
          <w:spacing w:val="-4"/>
          <w:sz w:val="24"/>
          <w:szCs w:val="24"/>
        </w:rPr>
        <w:pict>
          <v:roundrect id="_x0000_s1032" style="position:absolute;left:0;text-align:left;margin-left:196.3pt;margin-top:9.4pt;width:313.8pt;height:54pt;z-index:251665408" arcsize="10923f">
            <v:textbox style="mso-next-textbox:#_x0000_s1032">
              <w:txbxContent>
                <w:p w:rsidR="00744020" w:rsidRDefault="001755BC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 w:rsidR="00641E12" w:rsidRDefault="00641E12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>
        <w:rPr>
          <w:rFonts w:ascii="华文细黑" w:eastAsia="华文细黑" w:hAnsi="华文细黑" w:cs="Arial"/>
          <w:b/>
          <w:noProof/>
          <w:color w:val="C00000"/>
          <w:spacing w:val="-4"/>
          <w:sz w:val="24"/>
          <w:szCs w:val="24"/>
        </w:rPr>
        <w:pict>
          <v:roundrect id="_x0000_s1031" style="position:absolute;left:0;text-align:left;margin-left:67.3pt;margin-top:9.4pt;width:117pt;height:54pt;z-index:251664384" arcsize="10923f">
            <v:textbox style="mso-next-textbox:#_x0000_s1031">
              <w:txbxContent>
                <w:p w:rsidR="00744020" w:rsidRPr="00744020" w:rsidRDefault="00744020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</w:t>
                  </w:r>
                  <w:r w:rsidR="00D727F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5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年</w:t>
                  </w:r>
                  <w:r w:rsidR="00D727F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 w:rsidR="00D727F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3</w:t>
                  </w:r>
                  <w:r w:rsidR="00701C13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 w:rsidR="00744020" w:rsidRPr="00744020" w:rsidRDefault="00701C13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 w:rsidR="00D727F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二</w:t>
                  </w:r>
                </w:p>
              </w:txbxContent>
            </v:textbox>
          </v:roundrect>
        </w:pict>
      </w:r>
    </w:p>
    <w:p w:rsidR="00744020" w:rsidRPr="00C05907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</w:pPr>
    </w:p>
    <w:p w:rsidR="00744020" w:rsidRPr="00C05907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</w:pPr>
    </w:p>
    <w:p w:rsidR="00744020" w:rsidRPr="00C05907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24"/>
          <w:szCs w:val="24"/>
        </w:rPr>
      </w:pPr>
    </w:p>
    <w:p w:rsidR="0035756D" w:rsidRPr="00C05907" w:rsidRDefault="0035756D" w:rsidP="00B74C32">
      <w:pPr>
        <w:rPr>
          <w:rFonts w:ascii="华文细黑" w:eastAsia="华文细黑" w:hAnsi="华文细黑" w:cs="Arial"/>
          <w:b/>
          <w:color w:val="FF0000"/>
          <w:spacing w:val="-4"/>
          <w:sz w:val="24"/>
          <w:szCs w:val="24"/>
        </w:rPr>
      </w:pPr>
    </w:p>
    <w:tbl>
      <w:tblPr>
        <w:tblStyle w:val="a7"/>
        <w:tblpPr w:leftFromText="180" w:rightFromText="180" w:vertAnchor="text" w:horzAnchor="margin" w:tblpY="1"/>
        <w:tblOverlap w:val="never"/>
        <w:tblW w:w="4740" w:type="pct"/>
        <w:tblLayout w:type="fixed"/>
        <w:tblLook w:val="04A0"/>
      </w:tblPr>
      <w:tblGrid>
        <w:gridCol w:w="675"/>
        <w:gridCol w:w="627"/>
        <w:gridCol w:w="6744"/>
        <w:gridCol w:w="2585"/>
      </w:tblGrid>
      <w:tr w:rsidR="001C4D1C" w:rsidRPr="00C05907" w:rsidTr="003912FB">
        <w:trPr>
          <w:trHeight w:val="564"/>
        </w:trPr>
        <w:tc>
          <w:tcPr>
            <w:tcW w:w="317" w:type="pct"/>
            <w:shd w:val="clear" w:color="auto" w:fill="C9675F"/>
          </w:tcPr>
          <w:p w:rsidR="001C4D1C" w:rsidRPr="00C05907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  <w:shd w:val="clear" w:color="auto" w:fill="auto"/>
          </w:tcPr>
          <w:p w:rsidR="001C4D1C" w:rsidRPr="00C05907" w:rsidRDefault="001C4D1C" w:rsidP="003912FB">
            <w:pPr>
              <w:autoSpaceDE w:val="0"/>
              <w:autoSpaceDN w:val="0"/>
              <w:adjustRightInd w:val="0"/>
              <w:jc w:val="center"/>
              <w:rPr>
                <w:rFonts w:ascii="华文细黑" w:eastAsia="华文细黑" w:hAnsi="华文细黑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172" w:type="pct"/>
            <w:shd w:val="clear" w:color="auto" w:fill="59A3D5"/>
          </w:tcPr>
          <w:p w:rsidR="001C4D1C" w:rsidRPr="00C05907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szCs w:val="24"/>
                <w:lang w:val="zh-CN"/>
              </w:rPr>
              <w:t>理由评述</w:t>
            </w:r>
          </w:p>
        </w:tc>
        <w:tc>
          <w:tcPr>
            <w:tcW w:w="1216" w:type="pct"/>
            <w:shd w:val="clear" w:color="auto" w:fill="9AC7E6"/>
          </w:tcPr>
          <w:p w:rsidR="001C4D1C" w:rsidRPr="00C05907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szCs w:val="24"/>
                <w:lang w:val="zh-CN"/>
              </w:rPr>
              <w:t>操作建议</w:t>
            </w:r>
          </w:p>
        </w:tc>
      </w:tr>
      <w:tr w:rsidR="001C4D1C" w:rsidRPr="00C05907" w:rsidTr="003912FB">
        <w:trPr>
          <w:trHeight w:val="5038"/>
        </w:trPr>
        <w:tc>
          <w:tcPr>
            <w:tcW w:w="317" w:type="pct"/>
            <w:vMerge w:val="restart"/>
            <w:textDirection w:val="tbRlV"/>
            <w:vAlign w:val="center"/>
          </w:tcPr>
          <w:p w:rsidR="001C4D1C" w:rsidRPr="00C05907" w:rsidRDefault="001C4D1C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  <w:r w:rsidRPr="00C05907">
              <w:rPr>
                <w:rFonts w:asciiTheme="minorEastAsia" w:hAnsiTheme="minorEastAsia" w:cs="Arial" w:hint="eastAsia"/>
                <w:b/>
                <w:color w:val="000000" w:themeColor="text1"/>
                <w:spacing w:val="-4"/>
                <w:sz w:val="24"/>
                <w:szCs w:val="24"/>
              </w:rPr>
              <w:t>国外</w:t>
            </w:r>
          </w:p>
        </w:tc>
        <w:tc>
          <w:tcPr>
            <w:tcW w:w="295" w:type="pct"/>
            <w:vAlign w:val="center"/>
          </w:tcPr>
          <w:p w:rsidR="001C4D1C" w:rsidRPr="00D727F9" w:rsidRDefault="001C4D1C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资讯</w:t>
            </w:r>
          </w:p>
        </w:tc>
        <w:tc>
          <w:tcPr>
            <w:tcW w:w="4388" w:type="pct"/>
            <w:gridSpan w:val="2"/>
          </w:tcPr>
          <w:p w:rsidR="00790AB4" w:rsidRPr="00C05907" w:rsidRDefault="00790AB4" w:rsidP="00C05907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Chars="200" w:firstLine="48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周一</w:t>
            </w:r>
            <w:r w:rsidRPr="00C05907">
              <w:rPr>
                <w:rFonts w:asciiTheme="minorEastAsia" w:eastAsiaTheme="minorEastAsia" w:hAnsiTheme="minorEastAsia" w:hint="eastAsia"/>
                <w:shd w:val="clear" w:color="auto" w:fill="FFFFFF"/>
              </w:rPr>
              <w:t>美国股市</w:t>
            </w: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震荡收高。</w:t>
            </w:r>
            <w:hyperlink r:id="rId10" w:tgtFrame="_blank" w:history="1">
              <w:r w:rsidRPr="00C05907">
                <w:rPr>
                  <w:rStyle w:val="a5"/>
                  <w:rFonts w:asciiTheme="minorEastAsia" w:eastAsiaTheme="minorEastAsia" w:hAnsiTheme="minorEastAsia" w:hint="eastAsia"/>
                  <w:color w:val="485A90"/>
                  <w:shd w:val="clear" w:color="auto" w:fill="FFFFFF"/>
                </w:rPr>
                <w:t>埃克森</w:t>
              </w:r>
            </w:hyperlink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美孚第四财季盈利下滑但高于市场预期。</w:t>
            </w:r>
            <w:r w:rsidRPr="00C05907">
              <w:rPr>
                <w:rFonts w:asciiTheme="minorEastAsia" w:eastAsiaTheme="minorEastAsia" w:hAnsiTheme="minorEastAsia" w:hint="eastAsia"/>
                <w:shd w:val="clear" w:color="auto" w:fill="FFFFFF"/>
              </w:rPr>
              <w:t>美国</w:t>
            </w: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12月个人支出创2009年以来最大跌幅。</w:t>
            </w:r>
            <w:r w:rsidRPr="00C05907">
              <w:rPr>
                <w:rFonts w:asciiTheme="minorEastAsia" w:eastAsiaTheme="minorEastAsia" w:hAnsiTheme="minorEastAsia" w:hint="eastAsia"/>
                <w:shd w:val="clear" w:color="auto" w:fill="FFFFFF"/>
              </w:rPr>
              <w:t>道琼斯工业平均指数</w:t>
            </w: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上涨196.22点，报17,361.17点，涨幅为1.14%；</w:t>
            </w:r>
            <w:r w:rsidRPr="00C05907">
              <w:rPr>
                <w:rFonts w:asciiTheme="minorEastAsia" w:eastAsiaTheme="minorEastAsia" w:hAnsiTheme="minorEastAsia" w:hint="eastAsia"/>
                <w:shd w:val="clear" w:color="auto" w:fill="FFFFFF"/>
              </w:rPr>
              <w:t>标准普尔500指数</w:t>
            </w: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上涨25.86点，报2,020.85点，涨幅为1.30%；</w:t>
            </w:r>
            <w:r w:rsidRPr="00C05907">
              <w:rPr>
                <w:rFonts w:asciiTheme="minorEastAsia" w:eastAsiaTheme="minorEastAsia" w:hAnsiTheme="minorEastAsia" w:hint="eastAsia"/>
                <w:shd w:val="clear" w:color="auto" w:fill="FFFFFF"/>
              </w:rPr>
              <w:t>纳斯达克综合指数</w:t>
            </w:r>
            <w:r w:rsidRPr="00C05907">
              <w:rPr>
                <w:rFonts w:asciiTheme="minorEastAsia" w:eastAsiaTheme="minorEastAsia" w:hAnsiTheme="minorEastAsia" w:hint="eastAsia"/>
                <w:color w:val="000000"/>
                <w:shd w:val="clear" w:color="auto" w:fill="FFFFFF"/>
              </w:rPr>
              <w:t>上涨41.45点，报4,676.69点，涨幅为0.89%。</w:t>
            </w: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美国总统奥巴马周一向国会提交了总额为4万亿美元的预算计划，该计划准备提高富裕美国人与企业的税率，额外所得将用于增加在经济困难时期手头紧张的美国家庭的收入。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在预算案中，奥巴马提议放宽自2011年以来对军费开支与国内开支项目的限制规定，并推出包括总计4780亿美元的高速公路、桥梁与交通运输系统升级公共建设项目在内的新计划。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奥巴马表示，美国可以承担中产阶级项目的投资；如果盲目紧缩，可能会对国家安全构成严重后果。他表示将不会接受不扩大经济项目的预算协议，预算草案完全可以由削减支出和税收改革来实现。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="42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白宫还发布了对经济增长的预测，预计美国2015年实际GDP预计增长3.1%，2016年料增3.0%，2017年料增2.8%；预计美国2015年CPI预计上升1.4%，2016年料升1.9%，2017年料升2.1%；预计2015年失业率预计为5.4%，2016年料为5.1%，2017年料为4.9%。</w:t>
            </w:r>
          </w:p>
          <w:p w:rsidR="00790AB4" w:rsidRPr="00C05907" w:rsidRDefault="00790AB4" w:rsidP="00C05907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Chars="200" w:firstLine="48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欧洲股市周一收盘上涨0.1%，延续上个月创下的三年多以来最高月度涨幅的走势，但西班牙和意大利股市走低，主要由于投资者担心希腊债务谈判可能将对其他“边缘国家”造成影响。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当日，泛欧斯托克600指数收涨0.1%，报367.29点。该指数在1月份上涨7.2%，据财经信息供应商FactSet统计的数据显示，这一涨幅创下自2011年10月份以来的最大单月涨幅。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欧洲其他各国股市中，德国DAX 30指数收涨1.3%，报10828.01点；法国CAC 40指数收涨0.5%，报4627.67点；英国富时100指数收涨0.5%，报6782.55点。希腊雅典综合指数最高上5%。</w:t>
            </w:r>
          </w:p>
          <w:p w:rsidR="001C4D1C" w:rsidRPr="00C05907" w:rsidRDefault="001C4D1C" w:rsidP="00C05907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Chars="200" w:firstLine="466"/>
              <w:rPr>
                <w:rFonts w:asciiTheme="minorEastAsia" w:eastAsiaTheme="minorEastAsia" w:hAnsiTheme="minorEastAsia" w:cs="Arial"/>
                <w:b/>
                <w:color w:val="FF0000"/>
                <w:spacing w:val="-4"/>
              </w:rPr>
            </w:pPr>
          </w:p>
        </w:tc>
      </w:tr>
      <w:tr w:rsidR="001C4D1C" w:rsidRPr="00C0590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1C4D1C" w:rsidRPr="00C05907" w:rsidRDefault="001C4D1C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1C4D1C" w:rsidRPr="00D727F9" w:rsidRDefault="001C4D1C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原油</w:t>
            </w:r>
          </w:p>
        </w:tc>
        <w:tc>
          <w:tcPr>
            <w:tcW w:w="4388" w:type="pct"/>
            <w:gridSpan w:val="2"/>
          </w:tcPr>
          <w:p w:rsidR="00790AB4" w:rsidRPr="00C05907" w:rsidRDefault="00790AB4" w:rsidP="00C05907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Chars="200" w:firstLine="48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NYMEX 3月原油</w:t>
            </w:r>
            <w:hyperlink r:id="rId11" w:tgtFrame="_blank" w:history="1">
              <w:r w:rsidRPr="00C05907">
                <w:rPr>
                  <w:rStyle w:val="a5"/>
                  <w:rFonts w:asciiTheme="minorEastAsia" w:eastAsiaTheme="minorEastAsia" w:hAnsiTheme="minorEastAsia" w:hint="eastAsia"/>
                  <w:color w:val="485A90"/>
                </w:rPr>
                <w:t>期货</w:t>
              </w:r>
            </w:hyperlink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价格周一(2月2日)收盘上涨1.33美元，涨幅2.76%，报49.57美元/桶，创1月5日以来收盘新高，连续第二个交易日上涨并摆脱将近六年最低位，因为部分投资者可能正在空头回补——通过买入原油合约来平掉之前的空仓。NYMEX汽油价格则因为美国精炼厂连续第二天罢工而上涨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与此同时，ICE布伦特3月原油期货价格收盘上涨1.76美元，涨幅3.32%，报54.75</w:t>
            </w: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lastRenderedPageBreak/>
              <w:t>美元/桶，创1月2日以来收盘新高。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美国油服贝克休斯(Baker Hudges)上周五(1月30日)发布的</w:t>
            </w:r>
            <w:hyperlink r:id="rId12" w:tgtFrame="_blank" w:history="1">
              <w:r w:rsidRPr="00C05907">
                <w:rPr>
                  <w:rStyle w:val="a5"/>
                  <w:rFonts w:asciiTheme="minorEastAsia" w:eastAsiaTheme="minorEastAsia" w:hAnsiTheme="minorEastAsia" w:hint="eastAsia"/>
                  <w:color w:val="485A90"/>
                </w:rPr>
                <w:t>数据</w:t>
              </w:r>
            </w:hyperlink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显示，美国上周(1月30日当周)石油钻井数目环比减少94口(至少创1987年以来最大单周降幅)至1223口——创2012年以来新低，同比减少199口；1月30日当周天然气钻井增加3口、至319口。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芝加哥Price Futures Group资深市场分析师弗林(Phil Flynn)认为，美国精炼厂罢工问题可能会导致汽油供应紧张，上周五发布的钻井数据仍然为能源市场提供支撑，基本面正在发生潜移默化的变化。</w:t>
            </w:r>
          </w:p>
        </w:tc>
      </w:tr>
      <w:tr w:rsidR="001C4D1C" w:rsidRPr="00C0590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1C4D1C" w:rsidRPr="00C05907" w:rsidRDefault="001C4D1C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1C4D1C" w:rsidRPr="00D727F9" w:rsidRDefault="001C4D1C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黄金</w:t>
            </w:r>
          </w:p>
        </w:tc>
        <w:tc>
          <w:tcPr>
            <w:tcW w:w="4388" w:type="pct"/>
            <w:gridSpan w:val="2"/>
          </w:tcPr>
          <w:p w:rsidR="00790AB4" w:rsidRPr="00C05907" w:rsidRDefault="00790AB4" w:rsidP="00C05907">
            <w:pPr>
              <w:pStyle w:val="aa"/>
              <w:shd w:val="clear" w:color="auto" w:fill="FFFFFF"/>
              <w:spacing w:before="0" w:beforeAutospacing="0" w:after="0" w:afterAutospacing="0" w:line="280" w:lineRule="exact"/>
              <w:ind w:firstLineChars="200" w:firstLine="48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COMEX 4月黄金</w:t>
            </w:r>
            <w:hyperlink r:id="rId13" w:tgtFrame="_blank" w:history="1">
              <w:r w:rsidRPr="00C05907">
                <w:rPr>
                  <w:rStyle w:val="a5"/>
                  <w:rFonts w:asciiTheme="minorEastAsia" w:eastAsiaTheme="minorEastAsia" w:hAnsiTheme="minorEastAsia" w:hint="eastAsia"/>
                  <w:color w:val="485A90"/>
                </w:rPr>
                <w:t>期货</w:t>
              </w:r>
            </w:hyperlink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价格周一(2月2日)收盘持平于1279.20美元/盎司，尾盘时段一度反弹至1282.20美元/盎司，但仍然无力突破亚市盘初1283.70美元/盎司的日内顶部。</w:t>
            </w:r>
          </w:p>
          <w:p w:rsidR="00790AB4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虽然黄金市场周一收盘持平，但在美国股市面临下跌压力的情况下，黄金价格注定要走强。而在过去的1月份，黄金价格累计上涨逾8%，至少创三年(2012年1月份以来)最大单月涨幅，因为全球经济增长疑虑和政治、金融市场动荡都让投资者急于避险。</w:t>
            </w:r>
          </w:p>
          <w:p w:rsidR="001C4D1C" w:rsidRPr="00C05907" w:rsidRDefault="00790AB4" w:rsidP="00790AB4">
            <w:pPr>
              <w:pStyle w:val="aa"/>
              <w:shd w:val="clear" w:color="auto" w:fill="FFFFFF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 xml:space="preserve">　　与此同时，美国COMEX 3月白银期货价格收盘上涨0.43美元，涨幅2.6%，报17.21美元/盎司。</w:t>
            </w:r>
          </w:p>
        </w:tc>
      </w:tr>
      <w:tr w:rsidR="001C4D1C" w:rsidRPr="00C0590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1C4D1C" w:rsidRPr="00C05907" w:rsidRDefault="001C4D1C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1C4D1C" w:rsidRPr="00D727F9" w:rsidRDefault="001C4D1C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农产品</w:t>
            </w:r>
          </w:p>
        </w:tc>
        <w:tc>
          <w:tcPr>
            <w:tcW w:w="4388" w:type="pct"/>
            <w:gridSpan w:val="2"/>
          </w:tcPr>
          <w:p w:rsidR="001C4D1C" w:rsidRPr="00C05907" w:rsidRDefault="00283EA5" w:rsidP="00C05907">
            <w:pPr>
              <w:ind w:firstLineChars="200" w:firstLine="464"/>
              <w:rPr>
                <w:rFonts w:asciiTheme="minorEastAsia" w:hAnsiTheme="minorEastAsia" w:cs="Arial"/>
                <w:color w:val="000000" w:themeColor="text1"/>
                <w:spacing w:val="-4"/>
                <w:sz w:val="24"/>
                <w:szCs w:val="24"/>
              </w:rPr>
            </w:pPr>
            <w:r w:rsidRPr="00C05907">
              <w:rPr>
                <w:rFonts w:asciiTheme="minorEastAsia" w:hAnsiTheme="minorEastAsia" w:cs="Arial" w:hint="eastAsia"/>
                <w:color w:val="000000" w:themeColor="text1"/>
                <w:spacing w:val="-4"/>
                <w:sz w:val="24"/>
                <w:szCs w:val="24"/>
              </w:rPr>
              <w:t>周一下跌，交投震荡，交易商称因技术性卖出和预期南非丰收。芝加哥期货交易所(CBOT)-3月大豆期货 收跌1-1/2美分，报每蒲式耳9.59-1/2美元。3月豆粕期货收低2美元，报每短吨327.9美元。3月豆油合约收高0.41美分，报30.41美分。</w:t>
            </w:r>
          </w:p>
        </w:tc>
      </w:tr>
      <w:tr w:rsidR="00D5266F" w:rsidRPr="00C05907" w:rsidTr="00043DD8">
        <w:trPr>
          <w:trHeight w:val="469"/>
        </w:trPr>
        <w:tc>
          <w:tcPr>
            <w:tcW w:w="317" w:type="pct"/>
            <w:textDirection w:val="tbRlV"/>
            <w:vAlign w:val="center"/>
          </w:tcPr>
          <w:p w:rsidR="00D5266F" w:rsidRPr="00C05907" w:rsidRDefault="00D5266F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D5266F" w:rsidRPr="00D727F9" w:rsidRDefault="00D5266F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玉米</w:t>
            </w:r>
          </w:p>
        </w:tc>
        <w:tc>
          <w:tcPr>
            <w:tcW w:w="4388" w:type="pct"/>
            <w:gridSpan w:val="2"/>
          </w:tcPr>
          <w:p w:rsidR="00D5266F" w:rsidRPr="00C05907" w:rsidRDefault="00D5266F" w:rsidP="00C05907">
            <w:pPr>
              <w:pStyle w:val="aa"/>
              <w:spacing w:before="0" w:beforeAutospacing="0" w:after="0" w:afterAutospacing="0" w:line="280" w:lineRule="exact"/>
              <w:ind w:firstLineChars="150" w:firstLine="36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CBOT玉米期货周一大致收平，因小麦期货大跌以及供应充裕带来的影响被技术面支撑因素所抵消。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交投最活跃的CBOT-3月玉米稍早一度大涨逾2%，触及3.78-1/2美元日高，在100日移动均线切入位遭遇上升阻力。在连跌五日后，期价呈现超卖，引发一波空头回补。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不过CBOT-3月小麦期货触及四个月新低，拖累玉米期货从高位回落，全球各种谷物供应均能满足需求。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周五跌势中，玉米期货的未平仓合约猛增20,124口，至135.3万口，为8月来最高，显示投资人正作空。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路透数据显示，周一市场成交量超过24.9万口，低于上周后几天的水准。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美国农业部表示，截至1月29日该周出口检验661,675吨玉米，低于分析师预估区间的低端。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3月玉米期货结算价报3.69-3/4美元，微跌1/4美分。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交易所数据显示，今日CBOT玉米期货成交量预计为264,421口。</w:t>
            </w:r>
          </w:p>
        </w:tc>
      </w:tr>
      <w:tr w:rsidR="00D5266F" w:rsidRPr="00C05907" w:rsidTr="00043DD8">
        <w:trPr>
          <w:trHeight w:val="469"/>
        </w:trPr>
        <w:tc>
          <w:tcPr>
            <w:tcW w:w="317" w:type="pct"/>
            <w:textDirection w:val="tbRlV"/>
            <w:vAlign w:val="center"/>
          </w:tcPr>
          <w:p w:rsidR="00D5266F" w:rsidRPr="00C05907" w:rsidRDefault="00D5266F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D5266F" w:rsidRPr="00D727F9" w:rsidRDefault="00D5266F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小麦</w:t>
            </w:r>
          </w:p>
        </w:tc>
        <w:tc>
          <w:tcPr>
            <w:tcW w:w="4388" w:type="pct"/>
            <w:gridSpan w:val="2"/>
          </w:tcPr>
          <w:p w:rsidR="00D5266F" w:rsidRPr="00C05907" w:rsidRDefault="00D5266F" w:rsidP="00C05907">
            <w:pPr>
              <w:pStyle w:val="aa"/>
              <w:spacing w:before="0" w:beforeAutospacing="0" w:after="0" w:afterAutospacing="0" w:line="280" w:lineRule="exact"/>
              <w:ind w:firstLineChars="150" w:firstLine="36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CBOT小麦期货周一跌至四个月低点，交易商称因技术性卖盘，目前全球供应充裕，且出口竞争激烈。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周末侵袭美国中西部小麦种植区的暴风雪带来超过一英尺的降雪，为冬眠作物铺上一层保护层，使作物免遭预计本周将出席的严寒天气的影响。而美国大平原南部小麦产区则迎来对作物有利的降雨。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美国农业部报告，最近一周出口检验美国小麦394,029吨，接近市场预估区间25-40万吨的高端。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在加拿大统计局2月4日发布年终谷物库存报告前，路透访查的分析师预计，加拿大去年年底各种小麦总库存在2,500万吨，较一年前减少，但仍为数十年来较高水准。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CBOT-3月小麦期货结算价报4.92-3/4美元，跌10美分。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今日CBOT小麦期货预估成交量为102,217口。</w:t>
            </w:r>
          </w:p>
        </w:tc>
      </w:tr>
      <w:tr w:rsidR="00D5266F" w:rsidRPr="00C05907" w:rsidTr="00043DD8">
        <w:trPr>
          <w:trHeight w:val="469"/>
        </w:trPr>
        <w:tc>
          <w:tcPr>
            <w:tcW w:w="317" w:type="pct"/>
            <w:textDirection w:val="tbRlV"/>
            <w:vAlign w:val="center"/>
          </w:tcPr>
          <w:p w:rsidR="00D5266F" w:rsidRPr="00C05907" w:rsidRDefault="00D5266F" w:rsidP="00043DD8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D5266F" w:rsidRPr="00D727F9" w:rsidRDefault="00D5266F" w:rsidP="00D727F9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D727F9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原糖</w:t>
            </w:r>
          </w:p>
        </w:tc>
        <w:tc>
          <w:tcPr>
            <w:tcW w:w="4388" w:type="pct"/>
            <w:gridSpan w:val="2"/>
          </w:tcPr>
          <w:p w:rsidR="00D5266F" w:rsidRPr="00C05907" w:rsidRDefault="00D5266F" w:rsidP="00C05907">
            <w:pPr>
              <w:pStyle w:val="aa"/>
              <w:spacing w:before="0" w:beforeAutospacing="0" w:after="0" w:afterAutospacing="0" w:line="280" w:lineRule="exact"/>
              <w:ind w:firstLineChars="150" w:firstLine="360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ICE原糖期货周一一度下挫超过4%，至每磅近14美分，白糖挫跌至六年低位，因短期供应充足和技术卖盘。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可可期货延续利空趋势，纽约可可期货跌至一年低位，因需求疲弱和科特迪瓦（象牙海岸）可可到港数量多于预期继续拖累市场。咖啡期货在交投振荡后涨跌互见，市场等待新的基本面消息。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3月原糖期货收跌0.57美分，或3.9%，报每磅14.22美分，盘中下跌最多4.7%，至14.10美分低位，为1月5日来最低水平。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3月白糖期货收跌11.60美元，或3%，报每吨371.80美元，盘中跌至2009年4月来最低369.80美元。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ICE-3月可可期货收低21美元，或0.8%，报每吨2,672美元，盘中触及2014</w:t>
            </w: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lastRenderedPageBreak/>
              <w:t>年1月来最低2,669美元。伦敦5月可可期货收低13英镑，或0.7%，报每吨1,868英镑。</w:t>
            </w:r>
          </w:p>
          <w:p w:rsidR="00D5266F" w:rsidRPr="00C05907" w:rsidRDefault="00D5266F" w:rsidP="00D5266F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    ICE-3月阿拉比卡咖啡期货收高0.55美分，或0.3%，报每磅1.6245美元。3月罗布斯塔咖啡期货收跌6美元，或0.3%，报每吨1,948美元。</w:t>
            </w:r>
          </w:p>
        </w:tc>
      </w:tr>
      <w:tr w:rsidR="00C05907" w:rsidRPr="00C05907" w:rsidTr="00C05907">
        <w:trPr>
          <w:trHeight w:val="285"/>
        </w:trPr>
        <w:tc>
          <w:tcPr>
            <w:tcW w:w="317" w:type="pct"/>
            <w:vMerge w:val="restart"/>
            <w:textDirection w:val="tbRlV"/>
            <w:vAlign w:val="center"/>
          </w:tcPr>
          <w:p w:rsidR="00C05907" w:rsidRPr="00C05907" w:rsidRDefault="00C05907" w:rsidP="00043DD8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24"/>
                <w:szCs w:val="24"/>
                <w:lang w:val="zh-CN"/>
              </w:rPr>
              <w:lastRenderedPageBreak/>
              <w:t>国内</w:t>
            </w:r>
          </w:p>
        </w:tc>
        <w:tc>
          <w:tcPr>
            <w:tcW w:w="295" w:type="pct"/>
            <w:vAlign w:val="center"/>
          </w:tcPr>
          <w:p w:rsidR="00C05907" w:rsidRPr="00C05907" w:rsidRDefault="00C05907" w:rsidP="001C4D1C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股指</w:t>
            </w:r>
          </w:p>
        </w:tc>
        <w:tc>
          <w:tcPr>
            <w:tcW w:w="4388" w:type="pct"/>
            <w:gridSpan w:val="2"/>
          </w:tcPr>
          <w:p w:rsidR="00C05907" w:rsidRPr="00C05907" w:rsidRDefault="00C05907" w:rsidP="00C05907">
            <w:pPr>
              <w:pStyle w:val="aa"/>
              <w:spacing w:before="0" w:beforeAutospacing="0" w:after="0" w:afterAutospacing="0" w:line="280" w:lineRule="exact"/>
              <w:rPr>
                <w:rFonts w:asciiTheme="minorEastAsia" w:eastAsiaTheme="minorEastAsia" w:hAnsiTheme="minorEastAsia"/>
                <w:color w:val="000000"/>
              </w:rPr>
            </w:pPr>
            <w:r w:rsidRPr="00C05907">
              <w:rPr>
                <w:rFonts w:asciiTheme="minorEastAsia" w:eastAsiaTheme="minorEastAsia" w:hAnsiTheme="minorEastAsia" w:hint="eastAsia"/>
                <w:color w:val="000000"/>
              </w:rPr>
              <w:t>昨日沪深300指数跳空低开窄幅震荡，最终收于3353.96点，下跌80.43点，跌幅2.34%，成交金额为2248.4亿元，较上一交易日减少125.8亿元。主力合约下跌60点，跌幅1.74%。技术上，股指连续五个交易日收低，短期调整态势明显，本周以宽幅震荡对待，操作上仍以短线逢高沽空为主。消息面看，1月官方制造业PMI数据28个月来首次跌破荣枯线，非制造业PMI也创出一年新低，经济下行压力较大；春节前央行或继续展开各种动作维持流动性适度宽松。</w:t>
            </w:r>
          </w:p>
        </w:tc>
      </w:tr>
      <w:tr w:rsidR="00C05907" w:rsidRPr="00C05907" w:rsidTr="00C05907">
        <w:trPr>
          <w:trHeight w:val="285"/>
        </w:trPr>
        <w:tc>
          <w:tcPr>
            <w:tcW w:w="317" w:type="pct"/>
            <w:vMerge/>
          </w:tcPr>
          <w:p w:rsidR="00C05907" w:rsidRPr="00C05907" w:rsidRDefault="00C05907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</w:tcPr>
          <w:p w:rsidR="00C05907" w:rsidRPr="00C05907" w:rsidRDefault="00C05907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菜粕</w:t>
            </w:r>
          </w:p>
        </w:tc>
        <w:tc>
          <w:tcPr>
            <w:tcW w:w="4388" w:type="pct"/>
            <w:gridSpan w:val="2"/>
          </w:tcPr>
          <w:p w:rsidR="00C05907" w:rsidRPr="00C05907" w:rsidRDefault="00C05907" w:rsidP="00F810A0">
            <w:pPr>
              <w:ind w:rightChars="-20" w:right="-42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05907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技术上看，国内菜粕以底部震荡为主，上周五菜粕突破均线系统向下，再次考验2100整数支撑位位。</w:t>
            </w:r>
            <w:r w:rsidRPr="00C05907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据中华油脂网数据，湖北地区菜粕价格2220-2250元/吨，行情持稳</w:t>
            </w:r>
            <w:r w:rsidRPr="00C05907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。从外盘市场看，外盘粕类收</w:t>
            </w:r>
            <w:r w:rsidR="00F810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小</w:t>
            </w:r>
            <w:r w:rsidRPr="00C05907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阴线，对国内菜粕在技术上形成压制，另外在国内菜粕现货市场供应压力大局面尚未改变，对期货市场价格有一定的压制作用，建议以逢低布局布局多单短线操作为主。</w:t>
            </w:r>
          </w:p>
        </w:tc>
      </w:tr>
      <w:tr w:rsidR="00C05907" w:rsidRPr="00C05907" w:rsidTr="00C05907">
        <w:trPr>
          <w:trHeight w:val="285"/>
        </w:trPr>
        <w:tc>
          <w:tcPr>
            <w:tcW w:w="317" w:type="pct"/>
            <w:vMerge/>
          </w:tcPr>
          <w:p w:rsidR="00C05907" w:rsidRPr="00C05907" w:rsidRDefault="00C05907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</w:tcPr>
          <w:p w:rsidR="00C05907" w:rsidRPr="00C05907" w:rsidRDefault="00C05907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  <w:r w:rsidRPr="00C05907"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4"/>
                <w:szCs w:val="24"/>
                <w:lang w:val="zh-CN"/>
              </w:rPr>
              <w:t>郑油</w:t>
            </w:r>
          </w:p>
        </w:tc>
        <w:tc>
          <w:tcPr>
            <w:tcW w:w="4388" w:type="pct"/>
            <w:gridSpan w:val="2"/>
          </w:tcPr>
          <w:p w:rsidR="00C05907" w:rsidRPr="00C05907" w:rsidRDefault="00C05907" w:rsidP="001C4D1C">
            <w:pPr>
              <w:ind w:rightChars="-20" w:right="-42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05907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郑油</w:t>
            </w:r>
            <w:r w:rsidRPr="00C05907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底部震荡，技术上油脂维持偏弱格局，</w:t>
            </w:r>
            <w:r w:rsidRPr="00C05907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湖北地区国产四级菜油一般在8000-8100元/吨，国产菜油基本有价无市，主要销售进口菜油，进口菜油报价6300-6350元/吨，行情持稳。郑油1505合约反弹乏力延续振荡整理走势，建议</w:t>
            </w:r>
            <w:r w:rsidRPr="00C05907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暂时以观望为主。</w:t>
            </w:r>
          </w:p>
        </w:tc>
      </w:tr>
      <w:tr w:rsidR="00D727F9" w:rsidRPr="00C05907" w:rsidTr="00D727F9">
        <w:trPr>
          <w:trHeight w:val="285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铜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主力合约持仓量增加1614手至416396手，成交减少6万余手，总持仓减少19976手至932042手，多空博弈加剧。现货市场主流报贴水120元/吨-贴水50元/吨，贴水幅度继续扩大，供大于求形势明显。昨日沪铜借原油上涨借势反弹，冲破5日线压制，但上方均线压力重重，反弹空间难以预测，前期高点及反弹缺口41940一线是另一重考验。</w:t>
            </w:r>
          </w:p>
        </w:tc>
      </w:tr>
      <w:tr w:rsidR="00D727F9" w:rsidRPr="00C05907" w:rsidTr="00D727F9">
        <w:trPr>
          <w:trHeight w:val="285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天胶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乘联会的统计数据显示，今年1月乘用车日均销量仅为5.13万辆，同比下降6%，环比下降7%，1月份零售批发规模均低于此前预期，销售市场被透支明显，而厂商库存也逐渐攀高，随着环保相关政策愈发严厉和新能源汽车政策转型，今年汽车行业前景扑朔迷离。日本港口橡胶库存微降0.5%至12,976吨。数据显示，天然乳胶库存从549吨降至529吨，固体合成橡胶库存从974吨降至905吨，合成乳胶库存持平于103吨。目前天胶走势胶着，震荡区间旗形收窄，预测近期有可能面临突破性方向选择，密切关注。</w:t>
            </w:r>
          </w:p>
        </w:tc>
      </w:tr>
      <w:tr w:rsidR="00D727F9" w:rsidRPr="00C05907" w:rsidTr="00E2081F">
        <w:trPr>
          <w:trHeight w:val="411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铁矿石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铁矿石昨日晚间稍稍走高，但整体基本面仍然没有变化，预计未来一段时间直到春节，市场将很难选择方向，市场将保持震荡偏弱态势，盘中具体操作建议，可联系我们进行咨询。</w:t>
            </w:r>
          </w:p>
        </w:tc>
      </w:tr>
      <w:tr w:rsidR="00D727F9" w:rsidRPr="00C05907" w:rsidTr="00E2081F">
        <w:trPr>
          <w:trHeight w:val="411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螺纹钢</w:t>
            </w:r>
          </w:p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热卷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春节之前余下的可交易天数有限，市场需求不会大量增加，市场被动企稳，年前可能不会有大幅的波动，但整体弱势仍然保持不变，盘中具体操作建议，可联系我们进行咨询。</w:t>
            </w:r>
          </w:p>
        </w:tc>
      </w:tr>
      <w:tr w:rsidR="00D727F9" w:rsidRPr="00C05907" w:rsidTr="00043DD8">
        <w:trPr>
          <w:trHeight w:val="411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焦炭</w:t>
            </w:r>
          </w:p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焦煤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国内焦炭市场弱势持稳运行，成交依旧清淡。少数焦化企业表示，目前焦炭出货较为顺畅，厂内焦炭库存量呈现下降趋势，生产率维持在70%-80%之间。目前炼焦煤价格弱势运行，对焦炭市场支撑动力不足，短期内价格可能企稳并以在低位徘徊为主。盘中具体操作建议，可联系我们进行咨询。</w:t>
            </w:r>
          </w:p>
        </w:tc>
      </w:tr>
      <w:tr w:rsidR="00D727F9" w:rsidRPr="00C05907" w:rsidTr="00043DD8">
        <w:trPr>
          <w:trHeight w:val="710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玻璃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玻璃主力合约尾盘小幅跳水，成交量、持仓量变化不大。价格震荡，，均线上来看，短期一举突破5日、10日线，考验上方20日线。综上，900一线仍显示较强支撑，操作上多看少动，激进者可逢低买入。</w:t>
            </w:r>
          </w:p>
        </w:tc>
      </w:tr>
      <w:tr w:rsidR="00D727F9" w:rsidRPr="00C05907" w:rsidTr="00043DD8">
        <w:trPr>
          <w:trHeight w:val="692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PTA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从基本面来看，上游成本端原油暴涨7%，PX价格延续回落。原油由于短期因素的反弹将会给PTA带来一定的支撑，但原油依旧不容客观，PTA近期可能出现大幅反弹，但整体下行趋势不变，长期看空，4500支撑位，压力位4700，建议短多。</w:t>
            </w:r>
          </w:p>
        </w:tc>
      </w:tr>
      <w:tr w:rsidR="00D727F9" w:rsidRPr="00C05907" w:rsidTr="00043DD8">
        <w:trPr>
          <w:trHeight w:val="702"/>
        </w:trPr>
        <w:tc>
          <w:tcPr>
            <w:tcW w:w="317" w:type="pct"/>
            <w:vMerge/>
          </w:tcPr>
          <w:p w:rsidR="00D727F9" w:rsidRPr="00C05907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</w:tcPr>
          <w:p w:rsidR="00D727F9" w:rsidRDefault="00D727F9" w:rsidP="00D727F9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C00000"/>
                <w:kern w:val="0"/>
                <w:sz w:val="22"/>
                <w:szCs w:val="24"/>
                <w:lang w:val="zh-CN"/>
              </w:rPr>
              <w:t>白糖</w:t>
            </w:r>
          </w:p>
        </w:tc>
        <w:tc>
          <w:tcPr>
            <w:tcW w:w="4388" w:type="pct"/>
            <w:gridSpan w:val="2"/>
          </w:tcPr>
          <w:p w:rsidR="00D727F9" w:rsidRPr="00D727F9" w:rsidRDefault="00D727F9" w:rsidP="00D727F9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727F9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隔夜，ICE3月期糖再度回落，短期市场考验前低支撑。消息面来看，糖业研究机构Kingsman在迪拜会议预期未来前景利空，受此影响糖价出现较大幅度下跌。另外，从印度以及巴西的出口情况来看，目前国际市场依旧过剩，基本面长期偏空格局依旧无实质转变。技术面，期糖03合约再度走弱，市场短期考验前低支撑。国内来看，1505合约5100压力较大，可以考虑逢高试探建立空单。</w:t>
            </w:r>
          </w:p>
        </w:tc>
      </w:tr>
      <w:tr w:rsidR="002D0D98" w:rsidRPr="00C05907" w:rsidTr="00043DD8">
        <w:trPr>
          <w:trHeight w:val="698"/>
        </w:trPr>
        <w:tc>
          <w:tcPr>
            <w:tcW w:w="317" w:type="pct"/>
            <w:vMerge/>
          </w:tcPr>
          <w:p w:rsidR="002D0D98" w:rsidRPr="00C05907" w:rsidRDefault="002D0D98" w:rsidP="002D0D98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" w:type="pct"/>
          </w:tcPr>
          <w:p w:rsidR="002D0D98" w:rsidRPr="00C05907" w:rsidRDefault="002D0D98" w:rsidP="002D0D98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88" w:type="pct"/>
            <w:gridSpan w:val="2"/>
          </w:tcPr>
          <w:p w:rsidR="002D0D98" w:rsidRPr="00C05907" w:rsidRDefault="002D0D98" w:rsidP="002D0D98">
            <w:pPr>
              <w:ind w:rightChars="-20" w:right="-42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941EC" w:rsidRPr="00C05907" w:rsidRDefault="00F941EC" w:rsidP="00F941EC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 w:rsidRPr="00C05907">
        <w:rPr>
          <w:rFonts w:hAnsi="Times New Roman" w:cs="宋体" w:hint="eastAsia"/>
          <w:kern w:val="0"/>
          <w:sz w:val="24"/>
          <w:szCs w:val="24"/>
        </w:rPr>
        <w:lastRenderedPageBreak/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p w:rsidR="00BA1931" w:rsidRPr="00C05907" w:rsidRDefault="00BA1931" w:rsidP="006253AD">
      <w:pPr>
        <w:rPr>
          <w:rFonts w:ascii="华文细黑" w:eastAsia="华文细黑" w:hAnsi="华文细黑" w:cs="Arial"/>
          <w:b/>
          <w:color w:val="FF0000"/>
          <w:spacing w:val="-4"/>
          <w:sz w:val="24"/>
          <w:szCs w:val="24"/>
        </w:rPr>
      </w:pPr>
    </w:p>
    <w:p w:rsidR="006253AD" w:rsidRPr="00C05907" w:rsidRDefault="00475732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>
        <w:rPr>
          <w:rFonts w:hAnsi="Times New Roman" w:cs="宋体"/>
          <w:noProof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-1.1pt;margin-top:11.9pt;width:64.8pt;height:36.7pt;z-index:251667456;mso-width-relative:margin;mso-height-relative:margin" fillcolor="#c9675f" stroked="f">
            <v:textbox style="mso-next-textbox:#_x0000_s1034">
              <w:txbxContent>
                <w:p w:rsidR="006253AD" w:rsidRPr="00747401" w:rsidRDefault="006253AD" w:rsidP="006253AD">
                  <w:pPr>
                    <w:rPr>
                      <w:rFonts w:ascii="华文细黑" w:eastAsia="华文细黑" w:hAnsi="华文细黑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747401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4"/>
                      <w:szCs w:val="24"/>
                    </w:rPr>
                    <w:t>免责声明</w:t>
                  </w:r>
                </w:p>
              </w:txbxContent>
            </v:textbox>
          </v:shape>
        </w:pict>
      </w:r>
    </w:p>
    <w:p w:rsidR="006253AD" w:rsidRPr="00C05907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</w:p>
    <w:p w:rsidR="006253AD" w:rsidRPr="00C05907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</w:p>
    <w:p w:rsidR="006253AD" w:rsidRPr="00C05907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</w:p>
    <w:p w:rsidR="006253AD" w:rsidRPr="00C05907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  <w:r w:rsidRPr="00C05907">
        <w:rPr>
          <w:rFonts w:hAnsi="Times New Roman" w:cs="宋体" w:hint="eastAsia"/>
          <w:kern w:val="0"/>
          <w:sz w:val="24"/>
          <w:szCs w:val="24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p w:rsidR="003D7B4E" w:rsidRPr="00C05907" w:rsidRDefault="003D7B4E" w:rsidP="003D7B4E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24"/>
          <w:szCs w:val="24"/>
        </w:rPr>
      </w:pPr>
    </w:p>
    <w:sectPr w:rsidR="003D7B4E" w:rsidRPr="00C05907" w:rsidSect="001C4D1C">
      <w:pgSz w:w="11906" w:h="16838"/>
      <w:pgMar w:top="454" w:right="454" w:bottom="454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45C" w:rsidRDefault="00FC545C" w:rsidP="005D403B">
      <w:r>
        <w:separator/>
      </w:r>
    </w:p>
  </w:endnote>
  <w:endnote w:type="continuationSeparator" w:id="1">
    <w:p w:rsidR="00FC545C" w:rsidRDefault="00FC545C" w:rsidP="005D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45C" w:rsidRDefault="00FC545C" w:rsidP="005D403B">
      <w:r>
        <w:separator/>
      </w:r>
    </w:p>
  </w:footnote>
  <w:footnote w:type="continuationSeparator" w:id="1">
    <w:p w:rsidR="00FC545C" w:rsidRDefault="00FC545C" w:rsidP="005D4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2066"/>
    <w:multiLevelType w:val="multilevel"/>
    <w:tmpl w:val="40EAE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2450B"/>
    <w:multiLevelType w:val="multilevel"/>
    <w:tmpl w:val="E898D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3D0FAB"/>
    <w:multiLevelType w:val="multilevel"/>
    <w:tmpl w:val="7FC8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34F012"/>
    <w:multiLevelType w:val="singleLevel"/>
    <w:tmpl w:val="5434F012"/>
    <w:lvl w:ilvl="0">
      <w:start w:val="1"/>
      <w:numFmt w:val="decimal"/>
      <w:suff w:val="nothing"/>
      <w:lvlText w:val="%1、"/>
      <w:lvlJc w:val="left"/>
    </w:lvl>
  </w:abstractNum>
  <w:abstractNum w:abstractNumId="4">
    <w:nsid w:val="5434F30A"/>
    <w:multiLevelType w:val="singleLevel"/>
    <w:tmpl w:val="5434F30A"/>
    <w:lvl w:ilvl="0">
      <w:start w:val="1"/>
      <w:numFmt w:val="decimal"/>
      <w:suff w:val="nothing"/>
      <w:lvlText w:val="%1、"/>
      <w:lvlJc w:val="left"/>
    </w:lvl>
  </w:abstractNum>
  <w:abstractNum w:abstractNumId="5">
    <w:nsid w:val="5434F369"/>
    <w:multiLevelType w:val="singleLevel"/>
    <w:tmpl w:val="5434F369"/>
    <w:lvl w:ilvl="0">
      <w:start w:val="1"/>
      <w:numFmt w:val="decimal"/>
      <w:suff w:val="nothing"/>
      <w:lvlText w:val="%1、"/>
      <w:lvlJc w:val="left"/>
    </w:lvl>
  </w:abstractNum>
  <w:abstractNum w:abstractNumId="6">
    <w:nsid w:val="543B3A26"/>
    <w:multiLevelType w:val="singleLevel"/>
    <w:tmpl w:val="543B3A26"/>
    <w:lvl w:ilvl="0">
      <w:start w:val="1"/>
      <w:numFmt w:val="decimal"/>
      <w:suff w:val="nothing"/>
      <w:lvlText w:val="%1、"/>
      <w:lvlJc w:val="left"/>
    </w:lvl>
  </w:abstractNum>
  <w:abstractNum w:abstractNumId="7">
    <w:nsid w:val="543B72D9"/>
    <w:multiLevelType w:val="singleLevel"/>
    <w:tmpl w:val="543B72D9"/>
    <w:lvl w:ilvl="0">
      <w:start w:val="1"/>
      <w:numFmt w:val="decimal"/>
      <w:suff w:val="nothing"/>
      <w:lvlText w:val="%1、"/>
      <w:lvlJc w:val="left"/>
    </w:lvl>
  </w:abstractNum>
  <w:abstractNum w:abstractNumId="8">
    <w:nsid w:val="543B7EF3"/>
    <w:multiLevelType w:val="singleLevel"/>
    <w:tmpl w:val="543B7EF3"/>
    <w:lvl w:ilvl="0">
      <w:start w:val="1"/>
      <w:numFmt w:val="decimal"/>
      <w:suff w:val="nothing"/>
      <w:lvlText w:val="%1、"/>
      <w:lvlJc w:val="left"/>
    </w:lvl>
  </w:abstractNum>
  <w:abstractNum w:abstractNumId="9">
    <w:nsid w:val="543B7F29"/>
    <w:multiLevelType w:val="singleLevel"/>
    <w:tmpl w:val="543B7F29"/>
    <w:lvl w:ilvl="0">
      <w:start w:val="1"/>
      <w:numFmt w:val="decimal"/>
      <w:suff w:val="nothing"/>
      <w:lvlText w:val="%1、"/>
      <w:lvlJc w:val="left"/>
    </w:lvl>
  </w:abstractNum>
  <w:abstractNum w:abstractNumId="10">
    <w:nsid w:val="543DBDC3"/>
    <w:multiLevelType w:val="singleLevel"/>
    <w:tmpl w:val="543DBDC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1">
    <w:nsid w:val="543DBE5A"/>
    <w:multiLevelType w:val="singleLevel"/>
    <w:tmpl w:val="543DBE5A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2">
    <w:nsid w:val="5D735B8F"/>
    <w:multiLevelType w:val="hybridMultilevel"/>
    <w:tmpl w:val="611254C6"/>
    <w:lvl w:ilvl="0" w:tplc="03D2D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18860CD"/>
    <w:multiLevelType w:val="multilevel"/>
    <w:tmpl w:val="A6409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3F5EED"/>
    <w:multiLevelType w:val="multilevel"/>
    <w:tmpl w:val="DB8E8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4"/>
  </w:num>
  <w:num w:numId="5">
    <w:abstractNumId w:val="1"/>
  </w:num>
  <w:num w:numId="6">
    <w:abstractNumId w:val="0"/>
  </w:num>
  <w:num w:numId="7">
    <w:abstractNumId w:val="7"/>
  </w:num>
  <w:num w:numId="8">
    <w:abstractNumId w:val="6"/>
  </w:num>
  <w:num w:numId="9">
    <w:abstractNumId w:val="4"/>
  </w:num>
  <w:num w:numId="10">
    <w:abstractNumId w:val="9"/>
  </w:num>
  <w:num w:numId="11">
    <w:abstractNumId w:val="3"/>
  </w:num>
  <w:num w:numId="12">
    <w:abstractNumId w:val="5"/>
  </w:num>
  <w:num w:numId="13">
    <w:abstractNumId w:val="8"/>
  </w:num>
  <w:num w:numId="14">
    <w:abstractNumId w:val="7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11"/>
    <w:lvlOverride w:ilvl="0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20994">
      <o:colormru v:ext="edit" colors="#3b7ae1,#4576d7,#4878d8,#3187c1,#1c60e8,#165fd8,#1d6ed1,#3886e4"/>
      <o:colormenu v:ext="edit" fillcolor="#3187c1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841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47AC7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3EA5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98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61A"/>
    <w:rsid w:val="00332FF2"/>
    <w:rsid w:val="00333BFA"/>
    <w:rsid w:val="003345BB"/>
    <w:rsid w:val="00335992"/>
    <w:rsid w:val="00335C53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2FB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732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59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D4A"/>
    <w:rsid w:val="00553DF3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41FE"/>
    <w:rsid w:val="006944A9"/>
    <w:rsid w:val="0069486F"/>
    <w:rsid w:val="006949F4"/>
    <w:rsid w:val="00694B26"/>
    <w:rsid w:val="00694FE4"/>
    <w:rsid w:val="00695190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AB4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282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FC"/>
    <w:rsid w:val="0082116C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4152"/>
    <w:rsid w:val="00884D33"/>
    <w:rsid w:val="00885551"/>
    <w:rsid w:val="00886254"/>
    <w:rsid w:val="008863D1"/>
    <w:rsid w:val="008870D5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691"/>
    <w:rsid w:val="00A656B4"/>
    <w:rsid w:val="00A65D59"/>
    <w:rsid w:val="00A65E38"/>
    <w:rsid w:val="00A670C5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24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5907"/>
    <w:rsid w:val="00C06236"/>
    <w:rsid w:val="00C06340"/>
    <w:rsid w:val="00C06943"/>
    <w:rsid w:val="00C06C3C"/>
    <w:rsid w:val="00C07289"/>
    <w:rsid w:val="00C07806"/>
    <w:rsid w:val="00C1005A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78C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2A1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66F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7F9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E2A"/>
    <w:rsid w:val="00D83037"/>
    <w:rsid w:val="00D83D49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C91"/>
    <w:rsid w:val="00ED7DCA"/>
    <w:rsid w:val="00EE1DE2"/>
    <w:rsid w:val="00EE1FA5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0A0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4CDB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45C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20994">
      <o:colormru v:ext="edit" colors="#3b7ae1,#4576d7,#4878d8,#3187c1,#1c60e8,#165fd8,#1d6ed1,#3886e4"/>
      <o:colormenu v:ext="edit" fillcolor="#3187c1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34"/>
    <w:pPr>
      <w:widowControl w:val="0"/>
      <w:jc w:val="both"/>
    </w:pPr>
  </w:style>
  <w:style w:type="paragraph" w:styleId="1">
    <w:name w:val="heading 1"/>
    <w:basedOn w:val="a"/>
    <w:link w:val="1Char"/>
    <w:uiPriority w:val="99"/>
    <w:qFormat/>
    <w:rsid w:val="00664C4F"/>
    <w:pPr>
      <w:widowControl/>
      <w:spacing w:before="150"/>
      <w:jc w:val="center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4C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0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03B"/>
    <w:rPr>
      <w:sz w:val="18"/>
      <w:szCs w:val="18"/>
    </w:rPr>
  </w:style>
  <w:style w:type="character" w:styleId="a5">
    <w:name w:val="Hyperlink"/>
    <w:basedOn w:val="a0"/>
    <w:rsid w:val="00132BAE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B220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B2208"/>
  </w:style>
  <w:style w:type="table" w:styleId="a7">
    <w:name w:val="Table Grid"/>
    <w:basedOn w:val="a1"/>
    <w:uiPriority w:val="59"/>
    <w:rsid w:val="00717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1240286552msonormal">
    <w:name w:val="yiv1240286552msonormal"/>
    <w:basedOn w:val="a"/>
    <w:rsid w:val="00004B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04BC7"/>
    <w:pPr>
      <w:ind w:firstLineChars="200" w:firstLine="420"/>
    </w:pPr>
  </w:style>
  <w:style w:type="paragraph" w:customStyle="1" w:styleId="yiv1369622590msonormal">
    <w:name w:val="yiv1369622590msonormal"/>
    <w:basedOn w:val="a"/>
    <w:rsid w:val="004D1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normal">
    <w:name w:val="yiv690509581msonormal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listparagraph">
    <w:name w:val="yiv690509581msolistparagraph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normal">
    <w:name w:val="yiv40465906msonormal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listparagraph">
    <w:name w:val="yiv40465906msolistparagraph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sid w:val="00664C4F"/>
    <w:rPr>
      <w:rFonts w:ascii="宋体" w:eastAsia="宋体" w:hAnsi="宋体" w:cs="宋体"/>
      <w:b/>
      <w:bCs/>
      <w:kern w:val="36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B504E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504E8"/>
    <w:rPr>
      <w:sz w:val="18"/>
      <w:szCs w:val="18"/>
    </w:rPr>
  </w:style>
  <w:style w:type="character" w:customStyle="1" w:styleId="underline1">
    <w:name w:val="underline1"/>
    <w:basedOn w:val="a0"/>
    <w:rsid w:val="00F0335E"/>
    <w:rPr>
      <w:u w:val="single"/>
    </w:rPr>
  </w:style>
  <w:style w:type="paragraph" w:customStyle="1" w:styleId="yiv855455355msolistparagraph">
    <w:name w:val="yiv855455355msolistparagraph"/>
    <w:basedOn w:val="a"/>
    <w:rsid w:val="00D71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5C27D3"/>
    <w:rPr>
      <w:rFonts w:ascii="Calibri" w:hAnsi="Calibri" w:cs="Calibri" w:hint="default"/>
      <w:strike w:val="0"/>
      <w:dstrike w:val="0"/>
      <w:color w:val="2F2F2F"/>
      <w:sz w:val="20"/>
      <w:szCs w:val="20"/>
      <w:u w:val="none"/>
      <w:effect w:val="none"/>
    </w:rPr>
  </w:style>
  <w:style w:type="paragraph" w:styleId="aa">
    <w:name w:val="Normal (Web)"/>
    <w:basedOn w:val="a"/>
    <w:uiPriority w:val="99"/>
    <w:unhideWhenUsed/>
    <w:rsid w:val="004B2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xtcontent11">
    <w:name w:val="txtcontent11"/>
    <w:basedOn w:val="a0"/>
    <w:rsid w:val="006B2784"/>
    <w:rPr>
      <w:rFonts w:ascii="ˎ̥" w:hAnsi="ˎ̥" w:hint="default"/>
      <w:b w:val="0"/>
      <w:bCs w:val="0"/>
      <w:color w:val="000000"/>
      <w:sz w:val="17"/>
      <w:szCs w:val="17"/>
    </w:rPr>
  </w:style>
  <w:style w:type="character" w:customStyle="1" w:styleId="underlinedarkblue">
    <w:name w:val="underline darkblue"/>
    <w:basedOn w:val="a0"/>
    <w:rsid w:val="002F1723"/>
  </w:style>
  <w:style w:type="character" w:styleId="ab">
    <w:name w:val="Emphasis"/>
    <w:basedOn w:val="a0"/>
    <w:uiPriority w:val="20"/>
    <w:qFormat/>
    <w:rsid w:val="000761A1"/>
    <w:rPr>
      <w:b w:val="0"/>
      <w:bCs w:val="0"/>
      <w:i w:val="0"/>
      <w:iCs w:val="0"/>
      <w:color w:val="CC0033"/>
    </w:rPr>
  </w:style>
  <w:style w:type="character" w:styleId="ac">
    <w:name w:val="Strong"/>
    <w:basedOn w:val="a0"/>
    <w:uiPriority w:val="22"/>
    <w:qFormat/>
    <w:rsid w:val="001A1AF4"/>
    <w:rPr>
      <w:b/>
      <w:bCs/>
    </w:rPr>
  </w:style>
  <w:style w:type="character" w:customStyle="1" w:styleId="st1">
    <w:name w:val="st1"/>
    <w:basedOn w:val="a0"/>
    <w:rsid w:val="00F03262"/>
  </w:style>
  <w:style w:type="table" w:customStyle="1" w:styleId="-11">
    <w:name w:val="浅色网格 - 强调文字颜色 11"/>
    <w:basedOn w:val="a1"/>
    <w:uiPriority w:val="62"/>
    <w:rsid w:val="00D2352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2-11">
    <w:name w:val="中等深浅底纹 2 - 强调文字颜色 11"/>
    <w:basedOn w:val="a1"/>
    <w:uiPriority w:val="64"/>
    <w:rsid w:val="00D2352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a0"/>
    <w:rsid w:val="00D23523"/>
  </w:style>
  <w:style w:type="table" w:customStyle="1" w:styleId="2-12">
    <w:name w:val="中等深浅底纹 2 - 强调文字颜色 12"/>
    <w:basedOn w:val="a1"/>
    <w:uiPriority w:val="64"/>
    <w:rsid w:val="001B7A3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21">
    <w:name w:val="中等深浅底纹 2 - 强调文字颜色 121"/>
    <w:basedOn w:val="a1"/>
    <w:uiPriority w:val="64"/>
    <w:rsid w:val="00896BAA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">
    <w:name w:val="Light Shading Accent 2"/>
    <w:basedOn w:val="a1"/>
    <w:uiPriority w:val="60"/>
    <w:rsid w:val="00C441B7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customStyle="1" w:styleId="scayt-misspell">
    <w:name w:val="scayt-misspell"/>
    <w:basedOn w:val="a0"/>
    <w:rsid w:val="009E21AE"/>
  </w:style>
  <w:style w:type="table" w:customStyle="1" w:styleId="-110">
    <w:name w:val="浅色底纹 - 强调文字颜色 11"/>
    <w:basedOn w:val="a1"/>
    <w:uiPriority w:val="60"/>
    <w:rsid w:val="00185471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3Char">
    <w:name w:val="标题 3 Char"/>
    <w:basedOn w:val="a0"/>
    <w:link w:val="3"/>
    <w:uiPriority w:val="9"/>
    <w:semiHidden/>
    <w:rsid w:val="00B14C70"/>
    <w:rPr>
      <w:b/>
      <w:bCs/>
      <w:sz w:val="32"/>
      <w:szCs w:val="32"/>
    </w:rPr>
  </w:style>
  <w:style w:type="character" w:styleId="ad">
    <w:name w:val="FollowedHyperlink"/>
    <w:basedOn w:val="a0"/>
    <w:uiPriority w:val="99"/>
    <w:semiHidden/>
    <w:unhideWhenUsed/>
    <w:rsid w:val="005E01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97124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6502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82420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53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05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45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576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538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55721010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8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3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0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8886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104571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096851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1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2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5970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43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11157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1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3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8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9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7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7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96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5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7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5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0465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687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6261617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5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51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DDDDDD"/>
                        <w:left w:val="single" w:sz="6" w:space="0" w:color="DDDDDD"/>
                        <w:bottom w:val="single" w:sz="6" w:space="5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3799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8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5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2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8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8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8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0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98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3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1731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09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6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7233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36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5817439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745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1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4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7670">
              <w:marLeft w:val="0"/>
              <w:marRight w:val="0"/>
              <w:marTop w:val="0"/>
              <w:marBottom w:val="0"/>
              <w:divBdr>
                <w:top w:val="single" w:sz="24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4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9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79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2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617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600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13891341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7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2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83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074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89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3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6463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415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4756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CCCCCC"/>
                            <w:right w:val="none" w:sz="0" w:space="0" w:color="auto"/>
                          </w:divBdr>
                          <w:divsChild>
                            <w:div w:id="21485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5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8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1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5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0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8292">
          <w:marLeft w:val="181"/>
          <w:marRight w:val="1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1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4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435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7082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6878549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9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0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9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0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3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6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7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3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00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281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76626990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408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6840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5650263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1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6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4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9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9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3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4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7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5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2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0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4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5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8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519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0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59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31873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4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899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212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87862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5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23624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5407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3051721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5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36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7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7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137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3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9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4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97681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7706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95744682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9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1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7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1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6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9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321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9065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0478047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9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71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54743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57634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0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61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219480314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1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4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7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8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3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39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089348227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9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54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5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2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5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3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0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88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9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94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7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2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1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2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6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70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2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3412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2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3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0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5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4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8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1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5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0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82768">
          <w:marLeft w:val="0"/>
          <w:marRight w:val="0"/>
          <w:marTop w:val="0"/>
          <w:marBottom w:val="60"/>
          <w:divBdr>
            <w:top w:val="single" w:sz="6" w:space="3" w:color="DDDBDC"/>
            <w:left w:val="single" w:sz="6" w:space="8" w:color="DDDBDC"/>
            <w:bottom w:val="single" w:sz="6" w:space="3" w:color="DDDBDC"/>
            <w:right w:val="single" w:sz="6" w:space="6" w:color="DDDBDC"/>
          </w:divBdr>
          <w:divsChild>
            <w:div w:id="119180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8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21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11895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7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8415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2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0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31243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4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80365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17251">
              <w:marLeft w:val="0"/>
              <w:marRight w:val="0"/>
              <w:marTop w:val="0"/>
              <w:marBottom w:val="91"/>
              <w:divBdr>
                <w:top w:val="single" w:sz="4" w:space="9" w:color="CCD9E6"/>
                <w:left w:val="single" w:sz="4" w:space="0" w:color="CCD9E6"/>
                <w:bottom w:val="single" w:sz="4" w:space="7" w:color="CCD9E6"/>
                <w:right w:val="single" w:sz="4" w:space="0" w:color="CCD9E6"/>
              </w:divBdr>
              <w:divsChild>
                <w:div w:id="133761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1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7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1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2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2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4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69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26996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3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75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8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5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15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8192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329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3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1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37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53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1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62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2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7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9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52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2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184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2080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02678161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6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4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549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154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901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8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93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2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5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9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9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7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2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3863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4776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34343861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3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1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18207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024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7757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8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3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3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510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364944405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5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6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86214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314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63849024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6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3348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240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3458766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1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451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113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2649818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8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4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0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6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4998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62589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8162638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8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2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3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9962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60234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16464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9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5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2044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6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497008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8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41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9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53871">
          <w:marLeft w:val="0"/>
          <w:marRight w:val="0"/>
          <w:marTop w:val="14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505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  <w:divsChild>
                <w:div w:id="84019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3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6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6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8801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989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66954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0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60918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6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96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749344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6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02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8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761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8505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3227070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futures.hexun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atainfo.stock.hexun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tures.hexun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renwu.hexun.com/figure_795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xqh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938C9-B811-4048-B639-D46C5E6AC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811</Words>
  <Characters>4626</Characters>
  <Application>Microsoft Office Word</Application>
  <DocSecurity>0</DocSecurity>
  <Lines>38</Lines>
  <Paragraphs>10</Paragraphs>
  <ScaleCrop>false</ScaleCrop>
  <Company>Microsoft</Company>
  <LinksUpToDate>false</LinksUpToDate>
  <CharactersWithSpaces>5427</CharactersWithSpaces>
  <SharedDoc>false</SharedDoc>
  <HLinks>
    <vt:vector size="30" baseType="variant">
      <vt:variant>
        <vt:i4>4718611</vt:i4>
      </vt:variant>
      <vt:variant>
        <vt:i4>12</vt:i4>
      </vt:variant>
      <vt:variant>
        <vt:i4>0</vt:i4>
      </vt:variant>
      <vt:variant>
        <vt:i4>5</vt:i4>
      </vt:variant>
      <vt:variant>
        <vt:lpwstr>http://futures.hexun.com/</vt:lpwstr>
      </vt:variant>
      <vt:variant>
        <vt:lpwstr/>
      </vt:variant>
      <vt:variant>
        <vt:i4>6094863</vt:i4>
      </vt:variant>
      <vt:variant>
        <vt:i4>9</vt:i4>
      </vt:variant>
      <vt:variant>
        <vt:i4>0</vt:i4>
      </vt:variant>
      <vt:variant>
        <vt:i4>5</vt:i4>
      </vt:variant>
      <vt:variant>
        <vt:lpwstr>http://datainfo.stock.hexun.com/</vt:lpwstr>
      </vt:variant>
      <vt:variant>
        <vt:lpwstr/>
      </vt:variant>
      <vt:variant>
        <vt:i4>4718611</vt:i4>
      </vt:variant>
      <vt:variant>
        <vt:i4>6</vt:i4>
      </vt:variant>
      <vt:variant>
        <vt:i4>0</vt:i4>
      </vt:variant>
      <vt:variant>
        <vt:i4>5</vt:i4>
      </vt:variant>
      <vt:variant>
        <vt:lpwstr>http://futures.hexun.com/</vt:lpwstr>
      </vt:variant>
      <vt:variant>
        <vt:lpwstr/>
      </vt:variant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http://renwu.hexun.com/figure_795.shtml</vt:lpwstr>
      </vt:variant>
      <vt:variant>
        <vt:lpwstr/>
      </vt:variant>
      <vt:variant>
        <vt:i4>6029390</vt:i4>
      </vt:variant>
      <vt:variant>
        <vt:i4>0</vt:i4>
      </vt:variant>
      <vt:variant>
        <vt:i4>0</vt:i4>
      </vt:variant>
      <vt:variant>
        <vt:i4>5</vt:i4>
      </vt:variant>
      <vt:variant>
        <vt:lpwstr>http://www.hxqh.com/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hxshsh</dc:creator>
  <cp:lastModifiedBy>孙连刚</cp:lastModifiedBy>
  <cp:revision>3</cp:revision>
  <cp:lastPrinted>2013-03-27T00:45:00Z</cp:lastPrinted>
  <dcterms:created xsi:type="dcterms:W3CDTF">2015-01-21T00:53:00Z</dcterms:created>
  <dcterms:modified xsi:type="dcterms:W3CDTF">2015-02-03T01:02:00Z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300143084</vt:i4>
  </property>
</Properties>
</file>